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4839" w14:textId="77777777" w:rsidR="00FF5D12" w:rsidRDefault="00880587" w:rsidP="00FF5D12">
      <w:pPr>
        <w:pStyle w:val="Tytu"/>
        <w:spacing w:after="480"/>
        <w:rPr>
          <w:rFonts w:ascii="Times New Roman" w:hAnsi="Times New Roman" w:cs="Times New Roman"/>
          <w:sz w:val="24"/>
          <w:szCs w:val="24"/>
        </w:rPr>
      </w:pPr>
      <w:r w:rsidRPr="00880587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37DC42DF" w14:textId="4927A6FF" w:rsidR="00AF33FF" w:rsidRPr="00880587" w:rsidRDefault="00880587" w:rsidP="00FF5D12">
      <w:pPr>
        <w:pStyle w:val="Tytu"/>
        <w:spacing w:after="480"/>
        <w:rPr>
          <w:rFonts w:ascii="Times New Roman" w:hAnsi="Times New Roman" w:cs="Times New Roman"/>
          <w:sz w:val="24"/>
          <w:szCs w:val="24"/>
        </w:rPr>
      </w:pPr>
      <w:r w:rsidRPr="00880587">
        <w:rPr>
          <w:rFonts w:ascii="Times New Roman" w:hAnsi="Times New Roman" w:cs="Times New Roman"/>
          <w:sz w:val="24"/>
          <w:szCs w:val="24"/>
        </w:rPr>
        <w:t>KOMPUTER MULTIMEDIALNY</w:t>
      </w:r>
    </w:p>
    <w:tbl>
      <w:tblPr>
        <w:tblW w:w="9656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251"/>
        <w:gridCol w:w="6584"/>
      </w:tblGrid>
      <w:tr w:rsidR="00D755D3" w:rsidRPr="00D755D3" w14:paraId="4C1DE1C6" w14:textId="77777777" w:rsidTr="008048EA"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507FD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0216A" w14:textId="77777777" w:rsidR="00AF33FF" w:rsidRPr="00D755D3" w:rsidRDefault="00B96EC4">
            <w:pPr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EDBAA" w14:textId="6F7A16D5" w:rsidR="00AF33FF" w:rsidRPr="00D755D3" w:rsidRDefault="00406B89" w:rsidP="001A013B">
            <w:pPr>
              <w:snapToGrid w:val="0"/>
              <w:rPr>
                <w:highlight w:val="yellow"/>
              </w:rPr>
            </w:pPr>
            <w:r w:rsidRPr="00D755D3">
              <w:rPr>
                <w:rFonts w:ascii="Times New Roman" w:eastAsia="Calibri" w:hAnsi="Times New Roman" w:cs="Times New Roman"/>
              </w:rPr>
              <w:t xml:space="preserve">Procesor wielordzeniowy, </w:t>
            </w:r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osiągający w teście </w:t>
            </w:r>
            <w:proofErr w:type="spellStart"/>
            <w:r w:rsidRPr="00D755D3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 CPU Mark wynik co najmniej </w:t>
            </w:r>
            <w:r w:rsidR="00725293" w:rsidRPr="00D755D3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1A013B">
              <w:rPr>
                <w:rFonts w:ascii="Times New Roman" w:eastAsia="Times New Roman" w:hAnsi="Times New Roman" w:cs="Times New Roman"/>
                <w:b/>
                <w:bCs/>
              </w:rPr>
              <w:t xml:space="preserve"> 140</w:t>
            </w:r>
            <w:r w:rsidRPr="00D755D3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D755D3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Pr="001A013B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https://www.cpubenchmark.net/high_end_cpus.html</w:t>
            </w:r>
            <w:r w:rsidRPr="00D755D3">
              <w:rPr>
                <w:rFonts w:ascii="Times New Roman" w:eastAsia="Calibri" w:hAnsi="Times New Roman" w:cs="Times New Roman"/>
              </w:rPr>
              <w:t xml:space="preserve"> w dniu </w:t>
            </w:r>
            <w:r w:rsidR="001A013B">
              <w:rPr>
                <w:rFonts w:ascii="Times New Roman" w:eastAsia="Calibri" w:hAnsi="Times New Roman" w:cs="Times New Roman"/>
              </w:rPr>
              <w:t>09. 10. 2019 r.</w:t>
            </w:r>
            <w:r w:rsidRPr="00D755D3">
              <w:rPr>
                <w:rFonts w:ascii="Times New Roman" w:eastAsia="Calibri" w:hAnsi="Times New Roman" w:cs="Times New Roman"/>
              </w:rPr>
              <w:t xml:space="preserve"> i załączonych do SIWZ.</w:t>
            </w:r>
          </w:p>
        </w:tc>
      </w:tr>
      <w:tr w:rsidR="00D755D3" w:rsidRPr="00D755D3" w14:paraId="799C9B9F" w14:textId="77777777" w:rsidTr="008048EA">
        <w:trPr>
          <w:trHeight w:val="568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6B3AAD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Płyta Główna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B6DF34" w14:textId="77777777" w:rsidR="00AF33FF" w:rsidRPr="00D755D3" w:rsidRDefault="00B96EC4">
            <w:pPr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9DBE5B" w14:textId="0D61F585" w:rsidR="00AF33FF" w:rsidRPr="00D755D3" w:rsidRDefault="00B96EC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Płyta główna musi być dedykowana dla zastosowanego procesora gwarantująca prawidłowe i </w:t>
            </w:r>
            <w:r w:rsidR="002F19CE">
              <w:rPr>
                <w:rFonts w:ascii="Times New Roman" w:hAnsi="Times New Roman" w:cs="Times New Roman"/>
              </w:rPr>
              <w:t>stabilne działanie komputera.</w:t>
            </w:r>
          </w:p>
        </w:tc>
      </w:tr>
      <w:tr w:rsidR="00D755D3" w:rsidRPr="00D755D3" w14:paraId="01C5CD70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7572A2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BB7DF3" w14:textId="62EDE25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</w:t>
            </w:r>
            <w:r w:rsidR="002C0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DBCFF5" w14:textId="45A638DB" w:rsidR="00AF33FF" w:rsidRPr="00D755D3" w:rsidRDefault="00B96EC4">
            <w:pPr>
              <w:snapToGrid w:val="0"/>
              <w:jc w:val="both"/>
            </w:pPr>
            <w:r w:rsidRPr="00D755D3">
              <w:t xml:space="preserve">Płyta główna stacji roboczej  musi posiadać kondensatory polimerowe i dedykowane tranzystory zapewniające znaczną redukcję temperatury w </w:t>
            </w:r>
            <w:r w:rsidRPr="00D755D3">
              <w:rPr>
                <w:rFonts w:ascii="Times New Roman" w:hAnsi="Times New Roman" w:cs="Times New Roman"/>
              </w:rPr>
              <w:t>głównych obwodach zasilania</w:t>
            </w:r>
            <w:r w:rsidR="002F19CE">
              <w:rPr>
                <w:rFonts w:ascii="Times New Roman" w:hAnsi="Times New Roman" w:cs="Times New Roman"/>
              </w:rPr>
              <w:t>.</w:t>
            </w:r>
          </w:p>
        </w:tc>
      </w:tr>
      <w:tr w:rsidR="00D755D3" w:rsidRPr="00D755D3" w14:paraId="22BF91C6" w14:textId="77777777" w:rsidTr="008048EA">
        <w:trPr>
          <w:trHeight w:val="550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66F6AA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119B59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169AA" w14:textId="4359FAFF" w:rsidR="00AF33FF" w:rsidRPr="00D755D3" w:rsidRDefault="00B96EC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Pamięć RAM musi być dedykowana dla oferowanej architektury gwarantując prawidłowe</w:t>
            </w:r>
            <w:r w:rsidR="002F19CE"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D755D3" w:rsidRPr="00D755D3" w14:paraId="76324ECA" w14:textId="77777777" w:rsidTr="008048EA">
        <w:trPr>
          <w:trHeight w:val="588"/>
        </w:trPr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482BE1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C80D23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CCC9B" w14:textId="130DE543" w:rsidR="00AF33FF" w:rsidRPr="00D755D3" w:rsidRDefault="00B96EC4" w:rsidP="00F27D8B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Pamięć RAM musi być wykonana w standardzie </w:t>
            </w:r>
            <w:r w:rsidR="00F27D8B" w:rsidRPr="00D755D3">
              <w:rPr>
                <w:rFonts w:ascii="Times New Roman" w:hAnsi="Times New Roman" w:cs="Times New Roman"/>
              </w:rPr>
              <w:t xml:space="preserve">minimum </w:t>
            </w:r>
            <w:r w:rsidRPr="00D755D3">
              <w:rPr>
                <w:rFonts w:ascii="Times New Roman" w:hAnsi="Times New Roman" w:cs="Times New Roman"/>
              </w:rPr>
              <w:t>DDR</w:t>
            </w:r>
            <w:r w:rsidR="00AF31FF" w:rsidRPr="00D755D3">
              <w:rPr>
                <w:rFonts w:ascii="Times New Roman" w:hAnsi="Times New Roman" w:cs="Times New Roman"/>
              </w:rPr>
              <w:t>4</w:t>
            </w:r>
            <w:r w:rsidRPr="00D755D3">
              <w:rPr>
                <w:rFonts w:ascii="Times New Roman" w:hAnsi="Times New Roman" w:cs="Times New Roman"/>
              </w:rPr>
              <w:t xml:space="preserve">, taktowana zegarem minimum </w:t>
            </w:r>
            <w:r w:rsidR="00AF31FF" w:rsidRPr="00D755D3">
              <w:rPr>
                <w:rFonts w:ascii="Times New Roman" w:hAnsi="Times New Roman" w:cs="Times New Roman"/>
              </w:rPr>
              <w:t>2</w:t>
            </w:r>
            <w:r w:rsidR="00725293" w:rsidRPr="00D755D3">
              <w:rPr>
                <w:rFonts w:ascii="Times New Roman" w:hAnsi="Times New Roman" w:cs="Times New Roman"/>
              </w:rPr>
              <w:t>666</w:t>
            </w:r>
            <w:r w:rsidRPr="00D755D3">
              <w:rPr>
                <w:rFonts w:ascii="Times New Roman" w:hAnsi="Times New Roman" w:cs="Times New Roman"/>
              </w:rPr>
              <w:t xml:space="preserve"> </w:t>
            </w:r>
            <w:r w:rsidR="00F27D8B" w:rsidRPr="00D755D3">
              <w:rPr>
                <w:rFonts w:ascii="Times New Roman" w:hAnsi="Times New Roman" w:cs="Times New Roman"/>
              </w:rPr>
              <w:t>MHz</w:t>
            </w:r>
            <w:r w:rsidR="00725293" w:rsidRPr="00D755D3">
              <w:rPr>
                <w:rFonts w:ascii="Times New Roman" w:hAnsi="Times New Roman" w:cs="Times New Roman"/>
              </w:rPr>
              <w:t>.</w:t>
            </w:r>
          </w:p>
        </w:tc>
      </w:tr>
      <w:tr w:rsidR="00D755D3" w:rsidRPr="00D755D3" w14:paraId="7DAB7E85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59E96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A19612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06DF26" w14:textId="3B7FF76F" w:rsidR="00AF33FF" w:rsidRPr="00D755D3" w:rsidRDefault="00056E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Każdy moduł pamięci RAM musi posiadać pasywne chłodzenie</w:t>
            </w:r>
            <w:r w:rsidR="002F19CE">
              <w:rPr>
                <w:rFonts w:ascii="Times New Roman" w:hAnsi="Times New Roman" w:cs="Times New Roman"/>
              </w:rPr>
              <w:t>.</w:t>
            </w:r>
          </w:p>
        </w:tc>
      </w:tr>
      <w:tr w:rsidR="00D755D3" w:rsidRPr="00D755D3" w14:paraId="748BEA1E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21C172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06FDB8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404461" w14:textId="2B7C237D" w:rsidR="00AF33FF" w:rsidRPr="00D755D3" w:rsidRDefault="00B96EC4" w:rsidP="00B57B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Pojemność całkowita pamięci RAM musi wynieść minimum </w:t>
            </w:r>
            <w:r w:rsidR="00725293" w:rsidRPr="00D755D3">
              <w:rPr>
                <w:rFonts w:ascii="Times New Roman" w:hAnsi="Times New Roman" w:cs="Times New Roman"/>
              </w:rPr>
              <w:t>16</w:t>
            </w:r>
            <w:r w:rsidR="000C6174" w:rsidRPr="00D755D3">
              <w:rPr>
                <w:rFonts w:ascii="Times New Roman" w:hAnsi="Times New Roman" w:cs="Times New Roman"/>
              </w:rPr>
              <w:t xml:space="preserve"> </w:t>
            </w:r>
            <w:r w:rsidRPr="00D755D3">
              <w:rPr>
                <w:rFonts w:ascii="Times New Roman" w:hAnsi="Times New Roman" w:cs="Times New Roman"/>
              </w:rPr>
              <w:t>GB</w:t>
            </w:r>
            <w:r w:rsidR="002F19CE">
              <w:rPr>
                <w:rFonts w:ascii="Times New Roman" w:hAnsi="Times New Roman" w:cs="Times New Roman"/>
              </w:rPr>
              <w:t>.</w:t>
            </w:r>
            <w:r w:rsidRPr="00D755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55D3" w:rsidRPr="00D755D3" w14:paraId="4942C05A" w14:textId="77777777" w:rsidTr="008048EA">
        <w:trPr>
          <w:trHeight w:val="259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8992CE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Wewnętrzne złącza wejścia/wyjścia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1AF0B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351A68" w14:textId="6FBF7320" w:rsidR="00AF33FF" w:rsidRPr="00D755D3" w:rsidRDefault="00B96EC4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D755D3">
              <w:rPr>
                <w:rFonts w:ascii="Times New Roman" w:hAnsi="Times New Roman" w:cs="Times New Roman"/>
              </w:rPr>
              <w:t xml:space="preserve">Minimum </w:t>
            </w:r>
            <w:r w:rsidR="00725293" w:rsidRPr="00D755D3">
              <w:rPr>
                <w:rFonts w:ascii="Times New Roman" w:hAnsi="Times New Roman" w:cs="Times New Roman"/>
              </w:rPr>
              <w:t>dwa</w:t>
            </w:r>
            <w:r w:rsidRPr="00D755D3">
              <w:rPr>
                <w:rFonts w:ascii="Times New Roman" w:hAnsi="Times New Roman" w:cs="Times New Roman"/>
              </w:rPr>
              <w:t xml:space="preserve"> złącz</w:t>
            </w:r>
            <w:r w:rsidR="00725293" w:rsidRPr="00D755D3">
              <w:rPr>
                <w:rFonts w:ascii="Times New Roman" w:hAnsi="Times New Roman" w:cs="Times New Roman"/>
              </w:rPr>
              <w:t>a</w:t>
            </w:r>
            <w:r w:rsidR="002F19CE">
              <w:rPr>
                <w:rFonts w:ascii="Times New Roman" w:hAnsi="Times New Roman" w:cs="Times New Roman"/>
              </w:rPr>
              <w:t xml:space="preserve"> PCI Express x16.</w:t>
            </w:r>
          </w:p>
        </w:tc>
      </w:tr>
      <w:tr w:rsidR="00D755D3" w:rsidRPr="00D755D3" w14:paraId="451FF2AC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DA1BDB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6B6E42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71C1AE" w14:textId="4AC6988B" w:rsidR="00AF33FF" w:rsidRPr="00D755D3" w:rsidRDefault="00B96EC4" w:rsidP="000C6174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Minimum </w:t>
            </w:r>
            <w:r w:rsidR="00725293" w:rsidRPr="00D755D3">
              <w:rPr>
                <w:rFonts w:ascii="Times New Roman" w:hAnsi="Times New Roman" w:cs="Times New Roman"/>
              </w:rPr>
              <w:t xml:space="preserve">dwa </w:t>
            </w:r>
            <w:r w:rsidRPr="00D755D3">
              <w:rPr>
                <w:rFonts w:ascii="Times New Roman" w:hAnsi="Times New Roman" w:cs="Times New Roman"/>
              </w:rPr>
              <w:t>złącz</w:t>
            </w:r>
            <w:r w:rsidR="00725293" w:rsidRPr="00D755D3">
              <w:rPr>
                <w:rFonts w:ascii="Times New Roman" w:hAnsi="Times New Roman" w:cs="Times New Roman"/>
              </w:rPr>
              <w:t>a</w:t>
            </w:r>
            <w:r w:rsidR="002F19CE">
              <w:rPr>
                <w:rFonts w:ascii="Times New Roman" w:hAnsi="Times New Roman" w:cs="Times New Roman"/>
              </w:rPr>
              <w:t xml:space="preserve"> PCI Express x1.</w:t>
            </w:r>
          </w:p>
        </w:tc>
      </w:tr>
      <w:tr w:rsidR="00D755D3" w:rsidRPr="00D755D3" w14:paraId="5FA4230E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AD8EBE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9FC32" w14:textId="77777777" w:rsidR="00AF33FF" w:rsidRPr="00D755D3" w:rsidRDefault="00B96EC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CD6AB" w14:textId="137EB0A8" w:rsidR="00AF33FF" w:rsidRPr="00D755D3" w:rsidRDefault="00B96EC4">
            <w:pPr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Minimum cztery złącza SATA III</w:t>
            </w:r>
            <w:r w:rsidR="002F19CE">
              <w:rPr>
                <w:rFonts w:ascii="Times New Roman" w:hAnsi="Times New Roman" w:cs="Times New Roman"/>
              </w:rPr>
              <w:t>.</w:t>
            </w:r>
          </w:p>
        </w:tc>
      </w:tr>
      <w:tr w:rsidR="00D755D3" w:rsidRPr="00D755D3" w14:paraId="2D6CE891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3171A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Porty zewnętrzne tylnego panelu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A47C4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005D7" w14:textId="783901A1" w:rsidR="00AF33FF" w:rsidRPr="00D755D3" w:rsidRDefault="002F19C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dwa złącza USB 2.0.</w:t>
            </w:r>
          </w:p>
        </w:tc>
      </w:tr>
      <w:tr w:rsidR="00D755D3" w:rsidRPr="00D755D3" w14:paraId="7DE80CF0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22C5E3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E6CAF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C3989" w14:textId="0305BF05" w:rsidR="00AF33FF" w:rsidRPr="00D755D3" w:rsidRDefault="00B96EC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Minimum </w:t>
            </w:r>
            <w:r w:rsidR="00725293" w:rsidRPr="00D755D3">
              <w:rPr>
                <w:rFonts w:ascii="Times New Roman" w:hAnsi="Times New Roman" w:cs="Times New Roman"/>
              </w:rPr>
              <w:t>cztery</w:t>
            </w:r>
            <w:r w:rsidR="002F19CE">
              <w:rPr>
                <w:rFonts w:ascii="Times New Roman" w:hAnsi="Times New Roman" w:cs="Times New Roman"/>
              </w:rPr>
              <w:t xml:space="preserve"> złącza USB 3.0.</w:t>
            </w:r>
          </w:p>
        </w:tc>
      </w:tr>
      <w:tr w:rsidR="00D755D3" w:rsidRPr="00D755D3" w14:paraId="24A16B59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456107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A81D89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82025C" w14:textId="5B0D6972" w:rsidR="00AF33FF" w:rsidRPr="00D755D3" w:rsidRDefault="002F19C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jeden interfejs RJ-45.</w:t>
            </w:r>
          </w:p>
        </w:tc>
      </w:tr>
      <w:tr w:rsidR="00D755D3" w:rsidRPr="00D755D3" w14:paraId="649590C4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A00CB2" w14:textId="77777777" w:rsidR="00AF33FF" w:rsidRPr="00D755D3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1400ED" w14:textId="77777777" w:rsidR="00AF33FF" w:rsidRPr="00D755D3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bookmarkStart w:id="0" w:name="OLE_LINK1"/>
            <w:bookmarkEnd w:id="0"/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744C08" w14:textId="2B3E49A9" w:rsidR="00AF33FF" w:rsidRPr="00D755D3" w:rsidRDefault="006004B0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>Minimum trzy kanały  interfejsu audio (wejście audio, wyjście słuchawkowe, wejście mikrofonu).</w:t>
            </w:r>
          </w:p>
        </w:tc>
      </w:tr>
      <w:tr w:rsidR="00D755D3" w:rsidRPr="00D755D3" w14:paraId="1EBE81B3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1889E2" w14:textId="77777777" w:rsidR="000C6174" w:rsidRPr="00D755D3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6E6C14" w14:textId="77777777" w:rsidR="000C6174" w:rsidRPr="00D755D3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353853" w14:textId="32E7093D" w:rsidR="000C6174" w:rsidRPr="00D755D3" w:rsidRDefault="000C617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graficzna  dedykowana dla oferowanej architektury gwarantująca prawidłowe</w:t>
            </w:r>
            <w:r w:rsidR="002F19CE"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D755D3" w:rsidRPr="00D755D3" w14:paraId="53192907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276B0" w14:textId="77777777" w:rsidR="000C6174" w:rsidRPr="00D755D3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FFC6D" w14:textId="77777777" w:rsidR="000C6174" w:rsidRPr="00D755D3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53CE2B" w14:textId="51596407" w:rsidR="000C6174" w:rsidRPr="002C0BF8" w:rsidRDefault="000C6174" w:rsidP="001A013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C0BF8">
              <w:rPr>
                <w:rFonts w:ascii="Times New Roman" w:hAnsi="Times New Roman" w:cs="Times New Roman"/>
              </w:rPr>
              <w:t xml:space="preserve">Karta graficzna  </w:t>
            </w:r>
            <w:r w:rsidR="00FD3AEB" w:rsidRPr="002C0BF8">
              <w:rPr>
                <w:rFonts w:ascii="Times New Roman" w:hAnsi="Times New Roman" w:cs="Times New Roman"/>
              </w:rPr>
              <w:t xml:space="preserve">osiągająca w teście </w:t>
            </w:r>
            <w:proofErr w:type="spellStart"/>
            <w:r w:rsidR="00725293" w:rsidRPr="002C0BF8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="00725293" w:rsidRPr="002C0BF8">
              <w:rPr>
                <w:rFonts w:ascii="Times New Roman" w:eastAsia="Times New Roman" w:hAnsi="Times New Roman" w:cs="Times New Roman"/>
                <w:bCs/>
              </w:rPr>
              <w:t xml:space="preserve"> G3D Mark </w:t>
            </w:r>
            <w:r w:rsidR="00FD3AEB" w:rsidRPr="002C0BF8">
              <w:rPr>
                <w:rFonts w:ascii="Times New Roman" w:eastAsia="Times New Roman" w:hAnsi="Times New Roman" w:cs="Times New Roman"/>
                <w:bCs/>
              </w:rPr>
              <w:t xml:space="preserve">wynik co najmniej </w:t>
            </w:r>
            <w:r w:rsidR="00382915" w:rsidRPr="002C0BF8">
              <w:rPr>
                <w:rFonts w:ascii="Times New Roman" w:eastAsia="Times New Roman" w:hAnsi="Times New Roman" w:cs="Times New Roman"/>
                <w:b/>
                <w:bCs/>
              </w:rPr>
              <w:t>1700</w:t>
            </w:r>
            <w:r w:rsidR="00FD3AEB" w:rsidRPr="002C0BF8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="00FD3AEB" w:rsidRPr="002C0BF8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="00382915" w:rsidRPr="002C0BF8">
              <w:rPr>
                <w:rFonts w:ascii="Times New Roman" w:eastAsia="Calibri" w:hAnsi="Times New Roman" w:cs="Times New Roman"/>
              </w:rPr>
              <w:t>https://www.videocardbenchmark.net/high_end_gpus.html</w:t>
            </w:r>
            <w:r w:rsidR="00382915" w:rsidRPr="002C0BF8">
              <w:rPr>
                <w:rStyle w:val="Hipercze"/>
                <w:rFonts w:ascii="Times New Roman" w:eastAsia="Calibri" w:hAnsi="Times New Roman" w:cs="Times New Roman"/>
                <w:color w:val="auto"/>
                <w:u w:val="none"/>
              </w:rPr>
              <w:t xml:space="preserve"> </w:t>
            </w:r>
            <w:hyperlink r:id="rId9" w:history="1"/>
            <w:r w:rsidR="00FD3AEB" w:rsidRPr="002C0BF8">
              <w:rPr>
                <w:rFonts w:ascii="Times New Roman" w:eastAsia="Calibri" w:hAnsi="Times New Roman" w:cs="Times New Roman"/>
              </w:rPr>
              <w:t xml:space="preserve">w dniu </w:t>
            </w:r>
            <w:r w:rsidR="001A013B">
              <w:rPr>
                <w:rFonts w:ascii="Times New Roman" w:eastAsia="Calibri" w:hAnsi="Times New Roman" w:cs="Times New Roman"/>
              </w:rPr>
              <w:t>09. 10. 2019 r.</w:t>
            </w:r>
            <w:r w:rsidR="00FD3AEB" w:rsidRPr="002C0BF8">
              <w:rPr>
                <w:rFonts w:ascii="Times New Roman" w:eastAsia="Calibri" w:hAnsi="Times New Roman" w:cs="Times New Roman"/>
              </w:rPr>
              <w:t xml:space="preserve"> i załączonych do SIWZ</w:t>
            </w:r>
            <w:r w:rsidR="002F19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755D3" w:rsidRPr="00D755D3" w14:paraId="30467EAE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BB6C28" w14:textId="77777777" w:rsidR="00382915" w:rsidRPr="00D755D3" w:rsidRDefault="0038291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312B86" w14:textId="288854C2" w:rsidR="00382915" w:rsidRPr="00D755D3" w:rsidRDefault="0038291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5F8A3A" w14:textId="1FD329BC" w:rsidR="00382915" w:rsidRPr="002C0BF8" w:rsidRDefault="00382915" w:rsidP="001A013B">
            <w:pPr>
              <w:snapToGrid w:val="0"/>
              <w:rPr>
                <w:rFonts w:ascii="Times New Roman" w:hAnsi="Times New Roman" w:cs="Times New Roman"/>
              </w:rPr>
            </w:pPr>
            <w:r w:rsidRPr="002C0BF8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C0BF8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G2D Mark wynik co najmniej </w:t>
            </w:r>
            <w:r w:rsidRPr="002C0BF8">
              <w:rPr>
                <w:rFonts w:ascii="Times New Roman" w:eastAsia="Times New Roman" w:hAnsi="Times New Roman" w:cs="Times New Roman"/>
                <w:b/>
                <w:bCs/>
              </w:rPr>
              <w:t>790</w:t>
            </w:r>
            <w:r w:rsidRPr="002C0BF8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C0BF8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="00034BB1" w:rsidRPr="001A013B">
              <w:rPr>
                <w:rFonts w:ascii="Times New Roman" w:eastAsia="Calibri" w:hAnsi="Times New Roman" w:cs="Times New Roman"/>
              </w:rPr>
              <w:t>h</w:t>
            </w:r>
            <w:r w:rsidR="00034BB1" w:rsidRPr="001A013B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ttps://www.videocardbenchmark.net/GPU_mega_</w:t>
            </w:r>
            <w:r w:rsidR="00034BB1" w:rsidRPr="001A013B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br/>
              <w:t>page.html</w:t>
            </w:r>
            <w:r w:rsidRPr="002C0BF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2C0BF8">
              <w:rPr>
                <w:rFonts w:ascii="Times New Roman" w:eastAsia="Calibri" w:hAnsi="Times New Roman" w:cs="Times New Roman"/>
              </w:rPr>
              <w:t xml:space="preserve">w dniu </w:t>
            </w:r>
            <w:r w:rsidR="001A013B">
              <w:rPr>
                <w:rFonts w:ascii="Times New Roman" w:eastAsia="Calibri" w:hAnsi="Times New Roman" w:cs="Times New Roman"/>
              </w:rPr>
              <w:t xml:space="preserve">09. 10. 2019 r. </w:t>
            </w:r>
            <w:bookmarkStart w:id="1" w:name="_GoBack"/>
            <w:bookmarkEnd w:id="1"/>
            <w:r w:rsidRPr="002C0BF8">
              <w:rPr>
                <w:rFonts w:ascii="Times New Roman" w:eastAsia="Calibri" w:hAnsi="Times New Roman" w:cs="Times New Roman"/>
              </w:rPr>
              <w:t>i załączonych do SIWZ.</w:t>
            </w:r>
          </w:p>
        </w:tc>
      </w:tr>
      <w:tr w:rsidR="00D755D3" w:rsidRPr="00D755D3" w14:paraId="2B84124E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47D07B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15B77A" w14:textId="407EF3B0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2CB763" w14:textId="69D0A74E" w:rsidR="006518B9" w:rsidRPr="00D755D3" w:rsidRDefault="006518B9" w:rsidP="006518B9">
            <w:pPr>
              <w:pStyle w:val="Zawartotabeli"/>
              <w:snapToGrid w:val="0"/>
              <w:jc w:val="both"/>
            </w:pPr>
            <w:r w:rsidRPr="00D755D3">
              <w:t xml:space="preserve">Karta graficzna musi posiadać minimum 2048 MB własnej </w:t>
            </w:r>
            <w:r w:rsidRPr="00D755D3">
              <w:lastRenderedPageBreak/>
              <w:t>pamięci typu GDDR5</w:t>
            </w:r>
            <w:r w:rsidR="002C0BF8">
              <w:t xml:space="preserve"> lub GDDR6.</w:t>
            </w:r>
          </w:p>
        </w:tc>
      </w:tr>
      <w:tr w:rsidR="00D755D3" w:rsidRPr="00D755D3" w14:paraId="0CF98770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BEFCCD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F507DF" w14:textId="61577A08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3BCB78" w14:textId="14A0DF80" w:rsidR="006518B9" w:rsidRPr="00D755D3" w:rsidRDefault="006518B9" w:rsidP="008048EA">
            <w:pPr>
              <w:pStyle w:val="Zawartotabeli"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graficzna musi posiadać możliwość po</w:t>
            </w:r>
            <w:r w:rsidR="002C0BF8">
              <w:rPr>
                <w:rFonts w:ascii="Times New Roman" w:hAnsi="Times New Roman" w:cs="Times New Roman"/>
              </w:rPr>
              <w:t>d</w:t>
            </w:r>
            <w:r w:rsidR="002F19CE">
              <w:rPr>
                <w:rFonts w:ascii="Times New Roman" w:hAnsi="Times New Roman" w:cs="Times New Roman"/>
              </w:rPr>
              <w:t>łączenia  minimum 2 monitorów.</w:t>
            </w:r>
          </w:p>
        </w:tc>
      </w:tr>
      <w:tr w:rsidR="00D755D3" w:rsidRPr="00D755D3" w14:paraId="522BBFDD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D7E6F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846FE" w14:textId="73F16F9A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87E8E" w14:textId="3F3965AD" w:rsidR="006518B9" w:rsidRPr="00D755D3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Karta musi mieć możliwość uzyskania rozdzielczości </w:t>
            </w:r>
            <w:hyperlink r:id="rId10" w:history="1">
              <w:r w:rsidR="004A1287" w:rsidRPr="00D755D3">
                <w:rPr>
                  <w:rStyle w:val="Hipercze"/>
                  <w:color w:val="auto"/>
                  <w:u w:val="none"/>
                </w:rPr>
                <w:t>2560 x 1440</w:t>
              </w:r>
            </w:hyperlink>
            <w:r w:rsidRPr="00D755D3">
              <w:rPr>
                <w:rFonts w:ascii="Times New Roman" w:eastAsia="DejaVu Sans" w:hAnsi="Times New Roman" w:cs="Times New Roman"/>
              </w:rPr>
              <w:t xml:space="preserve">  pikseli lub wyższej</w:t>
            </w:r>
            <w:r w:rsidR="002F19CE">
              <w:rPr>
                <w:rFonts w:ascii="Times New Roman" w:eastAsia="DejaVu Sans" w:hAnsi="Times New Roman" w:cs="Times New Roman"/>
              </w:rPr>
              <w:t>.</w:t>
            </w:r>
          </w:p>
        </w:tc>
      </w:tr>
      <w:tr w:rsidR="00D755D3" w:rsidRPr="00D755D3" w14:paraId="10AFC6BB" w14:textId="77777777" w:rsidTr="008048EA">
        <w:trPr>
          <w:trHeight w:val="644"/>
        </w:trPr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C568D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15430" w14:textId="105359F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477DBE" w14:textId="1FD46525" w:rsidR="006518B9" w:rsidRPr="00D755D3" w:rsidRDefault="006518B9" w:rsidP="00B92ACE">
            <w:pPr>
              <w:pStyle w:val="Nagwek2"/>
              <w:rPr>
                <w:b w:val="0"/>
                <w:sz w:val="24"/>
                <w:szCs w:val="24"/>
              </w:rPr>
            </w:pPr>
            <w:r w:rsidRPr="00D755D3">
              <w:rPr>
                <w:rFonts w:eastAsia="DejaVu Sans"/>
                <w:b w:val="0"/>
                <w:sz w:val="24"/>
                <w:szCs w:val="24"/>
              </w:rPr>
              <w:t>Karta musi posiadać m</w:t>
            </w:r>
            <w:r w:rsidRPr="00D755D3">
              <w:rPr>
                <w:b w:val="0"/>
                <w:sz w:val="24"/>
                <w:szCs w:val="24"/>
              </w:rPr>
              <w:t xml:space="preserve">inimum </w:t>
            </w:r>
            <w:r w:rsidR="00B92ACE" w:rsidRPr="00D755D3">
              <w:rPr>
                <w:b w:val="0"/>
                <w:sz w:val="24"/>
                <w:szCs w:val="24"/>
              </w:rPr>
              <w:t xml:space="preserve">jedno złącze HDMI, minimum jedno złącze </w:t>
            </w:r>
            <w:proofErr w:type="spellStart"/>
            <w:r w:rsidR="00B92ACE" w:rsidRPr="00D755D3">
              <w:rPr>
                <w:b w:val="0"/>
                <w:sz w:val="24"/>
                <w:szCs w:val="24"/>
              </w:rPr>
              <w:t>DisplayPort</w:t>
            </w:r>
            <w:proofErr w:type="spellEnd"/>
            <w:r w:rsidR="00B92ACE" w:rsidRPr="00D755D3">
              <w:rPr>
                <w:b w:val="0"/>
                <w:sz w:val="24"/>
                <w:szCs w:val="24"/>
              </w:rPr>
              <w:t>, minimum jedno złącze DVI</w:t>
            </w:r>
            <w:r w:rsidR="004A1287" w:rsidRPr="00D755D3">
              <w:rPr>
                <w:b w:val="0"/>
                <w:sz w:val="24"/>
                <w:szCs w:val="24"/>
              </w:rPr>
              <w:t>.</w:t>
            </w:r>
          </w:p>
        </w:tc>
      </w:tr>
      <w:tr w:rsidR="00D755D3" w:rsidRPr="00D755D3" w14:paraId="12858B1A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25120A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31C73A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B4BB62" w14:textId="61A447B4" w:rsidR="006518B9" w:rsidRPr="00D755D3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Karta sieciowa musi obsługiwać standard </w:t>
            </w:r>
            <w:r w:rsidRPr="00D755D3">
              <w:rPr>
                <w:rFonts w:ascii="Times New Roman" w:hAnsi="Times New Roman" w:cs="Times New Roman"/>
              </w:rPr>
              <w:t xml:space="preserve">Gigabit </w:t>
            </w:r>
            <w:r w:rsidR="002F19CE">
              <w:rPr>
                <w:rFonts w:ascii="Times New Roman" w:hAnsi="Times New Roman" w:cs="Times New Roman"/>
              </w:rPr>
              <w:t xml:space="preserve">Ethernet LAN (10/100/1000 </w:t>
            </w:r>
            <w:proofErr w:type="spellStart"/>
            <w:r w:rsidR="002F19CE">
              <w:rPr>
                <w:rFonts w:ascii="Times New Roman" w:hAnsi="Times New Roman" w:cs="Times New Roman"/>
              </w:rPr>
              <w:t>Mb</w:t>
            </w:r>
            <w:proofErr w:type="spellEnd"/>
            <w:r w:rsidR="002F19CE">
              <w:rPr>
                <w:rFonts w:ascii="Times New Roman" w:hAnsi="Times New Roman" w:cs="Times New Roman"/>
              </w:rPr>
              <w:t>/s).</w:t>
            </w:r>
          </w:p>
        </w:tc>
      </w:tr>
      <w:tr w:rsidR="00D755D3" w:rsidRPr="00D755D3" w14:paraId="3856C315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362F86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CA01AB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DCBA" w14:textId="77777777" w:rsidR="006518B9" w:rsidRPr="00D755D3" w:rsidRDefault="006518B9" w:rsidP="006518B9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Zamawiający dopuszcza kartę sieciową z</w:t>
            </w:r>
            <w:r w:rsidRPr="00D755D3">
              <w:rPr>
                <w:rFonts w:ascii="Times New Roman" w:hAnsi="Times New Roman" w:cs="Times New Roman"/>
              </w:rPr>
              <w:t xml:space="preserve">integrowaną z </w:t>
            </w:r>
            <w:r w:rsidRPr="00D755D3">
              <w:rPr>
                <w:rFonts w:ascii="Times New Roman" w:eastAsia="DejaVu Sans" w:hAnsi="Times New Roman" w:cs="Times New Roman"/>
              </w:rPr>
              <w:t>płytą główną.</w:t>
            </w:r>
          </w:p>
        </w:tc>
      </w:tr>
      <w:tr w:rsidR="00D755D3" w:rsidRPr="00D755D3" w14:paraId="795DCE7C" w14:textId="77777777" w:rsidTr="008048EA"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86CBAD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409DE4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5F8FC" w14:textId="77777777" w:rsidR="006518B9" w:rsidRPr="00D755D3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Zintegrowana z płytą główną.</w:t>
            </w:r>
          </w:p>
        </w:tc>
      </w:tr>
      <w:tr w:rsidR="00C13026" w:rsidRPr="00D755D3" w14:paraId="15D78634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CBBCA4" w14:textId="59E57250" w:rsidR="00C13026" w:rsidRPr="00D755D3" w:rsidRDefault="00C13026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Napęd optyczny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10A138" w14:textId="525F5398" w:rsidR="00C13026" w:rsidRPr="00D755D3" w:rsidRDefault="00C13026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059950" w14:textId="2E16DF5D" w:rsidR="00C13026" w:rsidRPr="00D755D3" w:rsidRDefault="00C13026" w:rsidP="002F62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02E3">
              <w:t>Napęd optyczny zamontowany i podłączony w obudowie komputera.</w:t>
            </w:r>
          </w:p>
        </w:tc>
      </w:tr>
      <w:tr w:rsidR="00C13026" w:rsidRPr="00D755D3" w14:paraId="720FE8AC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1D4236" w14:textId="77777777" w:rsidR="00C13026" w:rsidRPr="00D755D3" w:rsidRDefault="00C13026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1E8C3" w14:textId="3E83B0E7" w:rsidR="00C13026" w:rsidRPr="00D755D3" w:rsidRDefault="00C13026" w:rsidP="002F624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102E3"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CB3DD5" w14:textId="420EBFA2" w:rsidR="00C13026" w:rsidRPr="00D755D3" w:rsidRDefault="00C13026" w:rsidP="002F62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02E3">
              <w:t xml:space="preserve">Napęd optyczny ma możliwość obsługi co najmniej takich </w:t>
            </w:r>
            <w:r>
              <w:t>nośników</w:t>
            </w:r>
            <w:r w:rsidRPr="009102E3">
              <w:t xml:space="preserve"> jak: CD (R, RW), DVD (+/- R, RW).</w:t>
            </w:r>
          </w:p>
        </w:tc>
      </w:tr>
      <w:tr w:rsidR="00D755D3" w:rsidRPr="00D755D3" w14:paraId="3109186F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5878EE" w14:textId="77777777" w:rsidR="008048EA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Twardy</w:t>
            </w:r>
            <w:r w:rsidR="00810420" w:rsidRPr="00D755D3">
              <w:rPr>
                <w:rFonts w:ascii="Times New Roman" w:hAnsi="Times New Roman" w:cs="Times New Roman"/>
              </w:rPr>
              <w:t xml:space="preserve"> </w:t>
            </w:r>
          </w:p>
          <w:p w14:paraId="1EC75D77" w14:textId="3DB4DB93" w:rsidR="006518B9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nr 1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595FCB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CC61D" w14:textId="3A7DCCFA" w:rsidR="006518B9" w:rsidRPr="00D755D3" w:rsidRDefault="006518B9" w:rsidP="006518B9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Dysk twardy SSD 2.5 cala o pojemności minimum </w:t>
            </w:r>
            <w:r w:rsidR="00810420" w:rsidRPr="00D755D3">
              <w:rPr>
                <w:rFonts w:ascii="Times New Roman" w:hAnsi="Times New Roman" w:cs="Times New Roman"/>
              </w:rPr>
              <w:t>256</w:t>
            </w:r>
            <w:r w:rsidRPr="00D755D3">
              <w:rPr>
                <w:rFonts w:ascii="Times New Roman" w:hAnsi="Times New Roman" w:cs="Times New Roman"/>
              </w:rPr>
              <w:t xml:space="preserve"> GB </w:t>
            </w:r>
            <w:r w:rsidR="002F19CE">
              <w:rPr>
                <w:rFonts w:ascii="Times New Roman" w:hAnsi="Times New Roman" w:cs="Times New Roman"/>
              </w:rPr>
              <w:t xml:space="preserve">z interfejsem SATA III (6 </w:t>
            </w:r>
            <w:proofErr w:type="spellStart"/>
            <w:r w:rsidR="002F19CE">
              <w:rPr>
                <w:rFonts w:ascii="Times New Roman" w:hAnsi="Times New Roman" w:cs="Times New Roman"/>
              </w:rPr>
              <w:t>Gb</w:t>
            </w:r>
            <w:proofErr w:type="spellEnd"/>
            <w:r w:rsidR="002F19CE">
              <w:rPr>
                <w:rFonts w:ascii="Times New Roman" w:hAnsi="Times New Roman" w:cs="Times New Roman"/>
              </w:rPr>
              <w:t>/s).</w:t>
            </w:r>
          </w:p>
        </w:tc>
      </w:tr>
      <w:tr w:rsidR="00D755D3" w:rsidRPr="00D755D3" w14:paraId="5235301C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FB2241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5DFFD6" w14:textId="77777777" w:rsidR="006518B9" w:rsidRPr="00D755D3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2 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2CA7FB" w14:textId="6E7C5E22" w:rsidR="006518B9" w:rsidRPr="00D755D3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</w:t>
            </w:r>
            <w:r w:rsidR="00810420" w:rsidRPr="00D755D3">
              <w:rPr>
                <w:rFonts w:ascii="Times New Roman" w:hAnsi="Times New Roman" w:cs="Times New Roman"/>
              </w:rPr>
              <w:t>z</w:t>
            </w:r>
            <w:r w:rsidR="002F19CE">
              <w:rPr>
                <w:rFonts w:ascii="Times New Roman" w:hAnsi="Times New Roman" w:cs="Times New Roman"/>
              </w:rPr>
              <w:t>amontowany w obudowie komputera.</w:t>
            </w:r>
          </w:p>
        </w:tc>
      </w:tr>
      <w:tr w:rsidR="00D755D3" w:rsidRPr="00D755D3" w14:paraId="262546B3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68A46F" w14:textId="77777777" w:rsidR="008048EA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Twardy </w:t>
            </w:r>
          </w:p>
          <w:p w14:paraId="14A9CBEE" w14:textId="1B1929E3" w:rsidR="00810420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nr 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0131EA" w14:textId="2514918A" w:rsidR="00810420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E4D0A6" w14:textId="7E2DD0BD" w:rsidR="00810420" w:rsidRPr="00D755D3" w:rsidRDefault="00810420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twardy HDD 3.5 cala o pojemności minimum 1000 GB z interfejsem </w:t>
            </w:r>
            <w:r w:rsidRPr="00D755D3">
              <w:t xml:space="preserve">SATA III (6 </w:t>
            </w:r>
            <w:proofErr w:type="spellStart"/>
            <w:r w:rsidRPr="00D755D3">
              <w:t>Gb</w:t>
            </w:r>
            <w:proofErr w:type="spellEnd"/>
            <w:r w:rsidRPr="00D755D3">
              <w:t>/s)</w:t>
            </w:r>
            <w:r w:rsidR="002F19CE">
              <w:t>.</w:t>
            </w:r>
          </w:p>
        </w:tc>
      </w:tr>
      <w:tr w:rsidR="00D755D3" w:rsidRPr="00D755D3" w14:paraId="6FF8C3D2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15DE0E" w14:textId="77777777" w:rsidR="00810420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F4B5A0" w14:textId="0A92800F" w:rsidR="00810420" w:rsidRPr="00D755D3" w:rsidRDefault="00790EA5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E87C64" w14:textId="3A066231" w:rsidR="00810420" w:rsidRPr="00D755D3" w:rsidRDefault="00810420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Dysk twardy musi mieć możliwość osiągnięcia prędkości obrotowej na poziomie minimum </w:t>
            </w:r>
            <w:r w:rsidR="002F19CE">
              <w:t xml:space="preserve">7200 </w:t>
            </w:r>
            <w:proofErr w:type="spellStart"/>
            <w:r w:rsidR="002F19CE">
              <w:t>obr</w:t>
            </w:r>
            <w:proofErr w:type="spellEnd"/>
            <w:r w:rsidR="002F19CE">
              <w:t>./min.</w:t>
            </w:r>
          </w:p>
        </w:tc>
      </w:tr>
      <w:tr w:rsidR="00D755D3" w:rsidRPr="00D755D3" w14:paraId="783FC8BE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9DA37A" w14:textId="77777777" w:rsidR="00810420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952AC7" w14:textId="2E743172" w:rsidR="00810420" w:rsidRPr="00D755D3" w:rsidRDefault="00790EA5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96FB9E" w14:textId="685B9A2D" w:rsidR="00810420" w:rsidRPr="00D755D3" w:rsidRDefault="00810420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musi posiadać m</w:t>
            </w:r>
            <w:r w:rsidR="002F19CE">
              <w:rPr>
                <w:rFonts w:ascii="Times New Roman" w:hAnsi="Times New Roman" w:cs="Times New Roman"/>
              </w:rPr>
              <w:t>inimum 64 MB pamięci podręcznej.</w:t>
            </w:r>
          </w:p>
        </w:tc>
      </w:tr>
      <w:tr w:rsidR="00D755D3" w:rsidRPr="00D755D3" w14:paraId="5BB96BED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08FE48" w14:textId="77777777" w:rsidR="00810420" w:rsidRPr="00D755D3" w:rsidRDefault="00810420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0FFF5A" w14:textId="13C8F347" w:rsidR="00810420" w:rsidRPr="00D755D3" w:rsidRDefault="00790EA5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C3E874" w14:textId="40F88667" w:rsidR="00810420" w:rsidRPr="00D755D3" w:rsidRDefault="00810420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Dysk z</w:t>
            </w:r>
            <w:r w:rsidR="002F19CE">
              <w:rPr>
                <w:rFonts w:ascii="Times New Roman" w:hAnsi="Times New Roman" w:cs="Times New Roman"/>
              </w:rPr>
              <w:t>amontowany w obudowie komputera.</w:t>
            </w:r>
          </w:p>
        </w:tc>
      </w:tr>
      <w:tr w:rsidR="004F7938" w:rsidRPr="00D755D3" w14:paraId="39646464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46329" w14:textId="77777777" w:rsidR="004F7938" w:rsidRPr="00D755D3" w:rsidRDefault="004F7938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CF26F" w14:textId="77777777" w:rsidR="004F7938" w:rsidRPr="00D755D3" w:rsidRDefault="004F7938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  <w:p w14:paraId="247D84A9" w14:textId="77777777" w:rsidR="004F7938" w:rsidRPr="00D755D3" w:rsidRDefault="004F7938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E571671" w14:textId="77777777" w:rsidR="004F7938" w:rsidRPr="00D755D3" w:rsidRDefault="004F7938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6E04DF17" w14:textId="77777777" w:rsidR="004F7938" w:rsidRPr="00D755D3" w:rsidRDefault="004F7938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EF60E1" w14:textId="77777777" w:rsidR="004F7938" w:rsidRPr="00D755D3" w:rsidRDefault="004F7938" w:rsidP="006518B9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hAnsi="Times New Roman" w:cs="Times New Roman"/>
              </w:rPr>
              <w:t xml:space="preserve">Zasilacz musi być zamontowany wewnątrz obudowy stacji roboczej oraz gwarantować prawidłowe i stabilne działanie komputera przy pełnych długotrwałych obciążeniach, z zapasem mocy, umożliwiającym wyposażenie obudowy w maximum  dodatkowych urządzeń. Zasilacz powinien posiadać </w:t>
            </w:r>
            <w:r w:rsidRPr="00D755D3">
              <w:rPr>
                <w:rFonts w:ascii="Times New Roman" w:eastAsia="DejaVu Sans" w:hAnsi="Times New Roman" w:cs="Times New Roman"/>
              </w:rPr>
              <w:t>ponadto układy aktywnej korekcji współczynnika mocy (PFC), ochronę przeciwprzepięciową (OVP), zabezpieczenie podnapięciowe (UVP), zabezpieczenie przeciwzwarciowe (SCP) zapobiegające uszkodzeniu elementów Stacji Roboczej.</w:t>
            </w:r>
          </w:p>
        </w:tc>
      </w:tr>
      <w:tr w:rsidR="004F7938" w:rsidRPr="00D755D3" w14:paraId="5E4B90D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1276F7" w14:textId="77777777" w:rsidR="004F7938" w:rsidRPr="00D755D3" w:rsidRDefault="004F7938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6AC0D0" w14:textId="1B61EDC1" w:rsidR="004F7938" w:rsidRPr="00D755D3" w:rsidRDefault="004F7938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3D8A9" w14:textId="13BBF4E8" w:rsidR="004F7938" w:rsidRPr="00D755D3" w:rsidRDefault="004F7938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Moc zasilac</w:t>
            </w:r>
            <w:r w:rsidR="002F19CE">
              <w:rPr>
                <w:rFonts w:ascii="Times New Roman" w:hAnsi="Times New Roman" w:cs="Times New Roman"/>
              </w:rPr>
              <w:t>za nie może być niższa niż 600W.</w:t>
            </w:r>
          </w:p>
        </w:tc>
      </w:tr>
      <w:tr w:rsidR="004F7938" w:rsidRPr="00D755D3" w14:paraId="32F38395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6C2333" w14:textId="77777777" w:rsidR="004F7938" w:rsidRPr="00D755D3" w:rsidRDefault="004F7938" w:rsidP="00F53114">
            <w:pPr>
              <w:pStyle w:val="Zawartotabeli"/>
              <w:snapToGrid w:val="0"/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F3152" w14:textId="16EAD6DD" w:rsidR="004F7938" w:rsidRPr="00D755D3" w:rsidRDefault="004F7938" w:rsidP="00F53114">
            <w:pPr>
              <w:pStyle w:val="Zawartotabeli"/>
              <w:snapToGrid w:val="0"/>
            </w:pPr>
            <w:r w:rsidRPr="00D755D3">
              <w:t xml:space="preserve">Parametr 3 </w:t>
            </w:r>
          </w:p>
        </w:tc>
        <w:tc>
          <w:tcPr>
            <w:tcW w:w="65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63EFCE" w14:textId="410AB5D0" w:rsidR="004F7938" w:rsidRPr="00D755D3" w:rsidRDefault="004F7938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>Zasilacz musi posiadać wewnętrzny wentyl</w:t>
            </w:r>
            <w:r w:rsidR="002F19CE">
              <w:rPr>
                <w:rFonts w:ascii="Times New Roman" w:eastAsia="DejaVu Sans" w:hAnsi="Times New Roman" w:cs="Times New Roman"/>
              </w:rPr>
              <w:t>ator o rozmiarze minimum 120 mm.</w:t>
            </w:r>
          </w:p>
        </w:tc>
      </w:tr>
      <w:tr w:rsidR="004F7938" w:rsidRPr="00D755D3" w14:paraId="206C328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AB3E46" w14:textId="77777777" w:rsidR="004F7938" w:rsidRPr="00D755D3" w:rsidRDefault="004F7938" w:rsidP="00F53114">
            <w:pPr>
              <w:pStyle w:val="Zawartotabeli"/>
              <w:snapToGrid w:val="0"/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80EF66" w14:textId="7AD3E460" w:rsidR="004F7938" w:rsidRPr="00D755D3" w:rsidRDefault="004F7938" w:rsidP="00F53114">
            <w:pPr>
              <w:pStyle w:val="Zawartotabeli"/>
              <w:snapToGrid w:val="0"/>
            </w:pPr>
            <w:r w:rsidRPr="00D755D3">
              <w:t>Parametr 4</w:t>
            </w:r>
          </w:p>
        </w:tc>
        <w:tc>
          <w:tcPr>
            <w:tcW w:w="65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6D1285" w14:textId="35119212" w:rsidR="004F7938" w:rsidRPr="00D755D3" w:rsidRDefault="004F7938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Zasilacz musi p</w:t>
            </w:r>
            <w:r w:rsidR="002F19CE">
              <w:rPr>
                <w:rFonts w:ascii="Times New Roman" w:eastAsia="DejaVu Sans" w:hAnsi="Times New Roman" w:cs="Times New Roman"/>
              </w:rPr>
              <w:t>osiadać certyfikat 80 plus GOLD.</w:t>
            </w:r>
          </w:p>
        </w:tc>
      </w:tr>
      <w:tr w:rsidR="004F7938" w:rsidRPr="00D755D3" w14:paraId="53FC9351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F2C68E" w14:textId="77777777" w:rsidR="004F7938" w:rsidRPr="00D755D3" w:rsidRDefault="004F7938" w:rsidP="00F53114">
            <w:pPr>
              <w:pStyle w:val="Zawartotabeli"/>
              <w:snapToGrid w:val="0"/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B812F2" w14:textId="5782C666" w:rsidR="004F7938" w:rsidRPr="00D755D3" w:rsidRDefault="004F7938" w:rsidP="00F53114">
            <w:pPr>
              <w:pStyle w:val="Zawartotabeli"/>
              <w:snapToGrid w:val="0"/>
            </w:pPr>
            <w:r>
              <w:t>Parametr 5</w:t>
            </w:r>
          </w:p>
        </w:tc>
        <w:tc>
          <w:tcPr>
            <w:tcW w:w="65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BBB430" w14:textId="7CDEA13A" w:rsidR="004F7938" w:rsidRPr="00D755D3" w:rsidRDefault="004F7938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>
              <w:rPr>
                <w:rFonts w:ascii="Times New Roman" w:eastAsia="DejaVu Sans" w:hAnsi="Times New Roman" w:cs="Times New Roman"/>
              </w:rPr>
              <w:t>Kabel zasilający nie może być krótszy niż 1,8 m i nie może być dłuższy niż 2m.</w:t>
            </w:r>
          </w:p>
        </w:tc>
      </w:tr>
      <w:tr w:rsidR="00756B1C" w:rsidRPr="00D755D3" w14:paraId="6EA11615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BCB7D" w14:textId="77777777" w:rsidR="00756B1C" w:rsidRPr="00D755D3" w:rsidRDefault="00756B1C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lastRenderedPageBreak/>
              <w:t>Obudowa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8A4484" w14:textId="77777777" w:rsidR="00756B1C" w:rsidRPr="00D755D3" w:rsidRDefault="00756B1C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734814" w14:textId="627C16DC" w:rsidR="00756B1C" w:rsidRPr="00D755D3" w:rsidRDefault="00756B1C" w:rsidP="008048EA">
            <w:pPr>
              <w:pStyle w:val="Zawartotabeli"/>
              <w:keepNext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Obudowa musi być standardu ATX, M</w:t>
            </w:r>
            <w:r w:rsidR="002F19CE">
              <w:rPr>
                <w:rFonts w:ascii="Times New Roman" w:eastAsia="DejaVu Sans" w:hAnsi="Times New Roman" w:cs="Times New Roman"/>
              </w:rPr>
              <w:t>icro ATX (</w:t>
            </w:r>
            <w:proofErr w:type="spellStart"/>
            <w:r w:rsidR="002F19CE">
              <w:rPr>
                <w:rFonts w:ascii="Times New Roman" w:eastAsia="DejaVu Sans" w:hAnsi="Times New Roman" w:cs="Times New Roman"/>
              </w:rPr>
              <w:t>uATX</w:t>
            </w:r>
            <w:proofErr w:type="spellEnd"/>
            <w:r w:rsidR="002F19CE">
              <w:rPr>
                <w:rFonts w:ascii="Times New Roman" w:eastAsia="DejaVu Sans" w:hAnsi="Times New Roman" w:cs="Times New Roman"/>
              </w:rPr>
              <w:t>) typu Midi Tower.</w:t>
            </w:r>
          </w:p>
        </w:tc>
      </w:tr>
      <w:tr w:rsidR="00756B1C" w:rsidRPr="00D755D3" w14:paraId="23965C28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91658" w14:textId="77777777" w:rsidR="00756B1C" w:rsidRPr="00D755D3" w:rsidRDefault="00756B1C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3B0B68" w14:textId="77777777" w:rsidR="00756B1C" w:rsidRPr="00D755D3" w:rsidRDefault="00756B1C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315BA9" w14:textId="7C7BC1C6" w:rsidR="00756B1C" w:rsidRPr="00D755D3" w:rsidRDefault="00756B1C" w:rsidP="008048EA">
            <w:pPr>
              <w:pStyle w:val="Zawartotabeli"/>
              <w:keepNext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</w:t>
            </w:r>
            <w:r w:rsidR="002F19CE">
              <w:rPr>
                <w:rFonts w:ascii="Times New Roman" w:eastAsia="DejaVu Sans" w:hAnsi="Times New Roman" w:cs="Times New Roman"/>
              </w:rPr>
              <w:t>budowa musi być koloru czarnego.</w:t>
            </w:r>
          </w:p>
        </w:tc>
      </w:tr>
      <w:tr w:rsidR="00756B1C" w:rsidRPr="00D755D3" w14:paraId="70AA5313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5A2473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53947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E3290A" w14:textId="0036483E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Obudowa stacji roboczej musi być kompatybilna z zaoferowanym zasilaczem oraz gwarantować jego </w:t>
            </w:r>
            <w:r w:rsidR="002F19CE">
              <w:rPr>
                <w:rFonts w:ascii="Times New Roman" w:hAnsi="Times New Roman" w:cs="Times New Roman"/>
              </w:rPr>
              <w:t>prawidłowe i stabilne działanie.</w:t>
            </w:r>
          </w:p>
        </w:tc>
      </w:tr>
      <w:tr w:rsidR="00756B1C" w:rsidRPr="00D755D3" w14:paraId="0B21C2D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41F610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9AEE2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70398" w14:textId="11BD9DB9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Obudowa stacji roboczej musi zapewnić dostęp do elementów wewnętrznych komputera tylko poprzez odkręcenie wkrętów mocujących i zdjęcie części bocznych obudowy. Zamawiający nie dopuszcza możliwości dostępu do elementów wewnętrznych komputera poprzez demontaż panelu przedniego.</w:t>
            </w:r>
          </w:p>
        </w:tc>
      </w:tr>
      <w:tr w:rsidR="00756B1C" w:rsidRPr="00D755D3" w14:paraId="73C2C114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3CD680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FDB3E9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BA918" w14:textId="091D1188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wewnętrzny wentylator o rozmiarze </w:t>
            </w:r>
            <w:r w:rsidR="002F19CE">
              <w:rPr>
                <w:rFonts w:ascii="Times New Roman" w:eastAsia="DejaVu Sans" w:hAnsi="Times New Roman" w:cs="Times New Roman"/>
              </w:rPr>
              <w:t>minimum 120 mm na tylnym panelu.</w:t>
            </w:r>
          </w:p>
        </w:tc>
      </w:tr>
      <w:tr w:rsidR="00756B1C" w:rsidRPr="00D755D3" w14:paraId="409144AD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76016C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214819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D7EC4E" w14:textId="6186DD4F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możliwość podłączenia dodatkowych wewnętrznych wentylatorów o rozmiarze minimum 120 mm na przednim i górnym panelu oraz </w:t>
            </w:r>
            <w:r w:rsidR="002F19CE">
              <w:rPr>
                <w:rFonts w:ascii="Times New Roman" w:eastAsia="DejaVu Sans" w:hAnsi="Times New Roman" w:cs="Times New Roman"/>
              </w:rPr>
              <w:t>posiadać filtry przeciw kurzowe.</w:t>
            </w:r>
          </w:p>
        </w:tc>
      </w:tr>
      <w:tr w:rsidR="00756B1C" w:rsidRPr="00D755D3" w14:paraId="59B9E10E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4809C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C69964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7 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77E6C" w14:textId="0C412EE2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minimum dwie wnęki </w:t>
            </w:r>
            <w:r w:rsidR="002F19CE">
              <w:rPr>
                <w:rFonts w:ascii="Times New Roman" w:eastAsia="DejaVu Sans" w:hAnsi="Times New Roman" w:cs="Times New Roman"/>
              </w:rPr>
              <w:t>wewnętrzne o rozmiarze 3,5 cala.</w:t>
            </w:r>
          </w:p>
        </w:tc>
      </w:tr>
      <w:tr w:rsidR="00756B1C" w:rsidRPr="00D755D3" w14:paraId="0E00EAC6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BBE89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96F8D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8 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C94FA2" w14:textId="5C359581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musi posiadać minimum jedną wnękę </w:t>
            </w:r>
            <w:r w:rsidR="002F19CE">
              <w:rPr>
                <w:rFonts w:ascii="Times New Roman" w:eastAsia="DejaVu Sans" w:hAnsi="Times New Roman" w:cs="Times New Roman"/>
              </w:rPr>
              <w:t>zewnętrzną o rozmiarze 3,5 cala.</w:t>
            </w:r>
          </w:p>
        </w:tc>
      </w:tr>
      <w:tr w:rsidR="00756B1C" w:rsidRPr="00D755D3" w14:paraId="445076D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3B5724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AD62D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9 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72483" w14:textId="2143D23D" w:rsidR="00756B1C" w:rsidRPr="00D755D3" w:rsidRDefault="00756B1C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Obudowa musi posiadać minimum dwie wnęki z</w:t>
            </w:r>
            <w:r w:rsidR="002F19CE">
              <w:rPr>
                <w:rFonts w:ascii="Times New Roman" w:eastAsia="DejaVu Sans" w:hAnsi="Times New Roman" w:cs="Times New Roman"/>
              </w:rPr>
              <w:t>ewnętrzne o rozmiarze 5,25 cala.</w:t>
            </w:r>
          </w:p>
        </w:tc>
      </w:tr>
      <w:tr w:rsidR="00756B1C" w:rsidRPr="00D755D3" w14:paraId="7B4A237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C6B0D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D3C27D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10 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D91D69" w14:textId="7DA6D2E2" w:rsidR="00756B1C" w:rsidRPr="00D755D3" w:rsidRDefault="00756B1C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 xml:space="preserve">Obudowa na górnym panelu musi posiadać minimum dwa złącza USB 3.0 lub 2.0 </w:t>
            </w:r>
            <w:r w:rsidRPr="00D755D3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(w tym minimum jedno złącze USB 3.0)</w:t>
            </w:r>
          </w:p>
        </w:tc>
      </w:tr>
      <w:tr w:rsidR="00756B1C" w:rsidRPr="00D755D3" w14:paraId="020E4C5B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3FF375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6BBE53" w14:textId="77777777" w:rsidR="00756B1C" w:rsidRPr="00D755D3" w:rsidRDefault="00756B1C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71426E" w14:textId="2D7AEDC4" w:rsidR="00756B1C" w:rsidRPr="00D755D3" w:rsidRDefault="00756B1C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>Obudowa na górnym panelu musi posiadać przycisk Power i przycisk Reset.</w:t>
            </w:r>
          </w:p>
        </w:tc>
      </w:tr>
      <w:tr w:rsidR="00756B1C" w:rsidRPr="00D755D3" w14:paraId="08D50885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28DF38" w14:textId="77777777" w:rsidR="00756B1C" w:rsidRPr="00D755D3" w:rsidRDefault="00756B1C" w:rsidP="00756B1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848E6" w14:textId="251F355B" w:rsidR="00756B1C" w:rsidRPr="00D755D3" w:rsidRDefault="00756B1C" w:rsidP="00756B1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B381B">
              <w:t>Parametr 12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E18C6E" w14:textId="394EAD57" w:rsidR="00756B1C" w:rsidRPr="00D755D3" w:rsidRDefault="00756B1C" w:rsidP="00756B1C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9B381B">
              <w:t xml:space="preserve">Masa obudowy nie może przekroczyć 6,2 kg.  </w:t>
            </w:r>
          </w:p>
        </w:tc>
      </w:tr>
      <w:tr w:rsidR="00ED6B7A" w:rsidRPr="00D755D3" w14:paraId="7ACAB562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940317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Monitor LCD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4786DD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DA047" w14:textId="420DD086" w:rsidR="00ED6B7A" w:rsidRPr="00D755D3" w:rsidRDefault="00ED6B7A" w:rsidP="00F53114">
            <w:pPr>
              <w:pStyle w:val="Zawartotabeli"/>
              <w:snapToGrid w:val="0"/>
              <w:jc w:val="both"/>
            </w:pPr>
            <w:r w:rsidRPr="00D755D3">
              <w:t>Monitor musi posiadać matrycę typu IPS z podświetleniem LED o przekątnej ekranu 27’’</w:t>
            </w:r>
          </w:p>
        </w:tc>
      </w:tr>
      <w:tr w:rsidR="00ED6B7A" w:rsidRPr="00D755D3" w14:paraId="3DDC47D2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9D5887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A0A7C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10FEA" w14:textId="0DDEE5B1" w:rsidR="00ED6B7A" w:rsidRPr="00D755D3" w:rsidRDefault="00ED6B7A" w:rsidP="00F53114">
            <w:pPr>
              <w:pStyle w:val="Zawartotabeli"/>
              <w:snapToGrid w:val="0"/>
              <w:jc w:val="both"/>
            </w:pPr>
            <w:r w:rsidRPr="00D755D3">
              <w:t>Czas reakcji matry</w:t>
            </w:r>
            <w:r>
              <w:t>cy monitora to maksymalnie 5 ms.</w:t>
            </w:r>
          </w:p>
        </w:tc>
      </w:tr>
      <w:tr w:rsidR="00ED6B7A" w:rsidRPr="00D755D3" w14:paraId="2DE7E560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C0587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2CD566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037D39" w14:textId="51DC5D51" w:rsidR="00ED6B7A" w:rsidRPr="00D755D3" w:rsidRDefault="00ED6B7A" w:rsidP="00F53114">
            <w:pPr>
              <w:pStyle w:val="Zawartotabeli"/>
              <w:snapToGrid w:val="0"/>
              <w:jc w:val="both"/>
            </w:pPr>
            <w:r w:rsidRPr="00D755D3">
              <w:t>Monitor m</w:t>
            </w:r>
            <w:r>
              <w:t>usi posiadać wbudowany zasilacz.</w:t>
            </w:r>
          </w:p>
        </w:tc>
      </w:tr>
      <w:tr w:rsidR="00ED6B7A" w:rsidRPr="00D755D3" w14:paraId="34DE498A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575C7B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3B4E6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BFA9B4" w14:textId="1FD7AAE1" w:rsidR="00ED6B7A" w:rsidRPr="00D755D3" w:rsidRDefault="00ED6B7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Monitor musi mieć możliwość uzyskania rozdzielczości minimum   2560 x 1440 pikseli.</w:t>
            </w:r>
          </w:p>
        </w:tc>
      </w:tr>
      <w:tr w:rsidR="00ED6B7A" w:rsidRPr="00D755D3" w14:paraId="5A624A1A" w14:textId="77777777" w:rsidTr="008048EA">
        <w:trPr>
          <w:trHeight w:val="291"/>
        </w:trPr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8033B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0CEF2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EFCB98" w14:textId="721865A1" w:rsidR="00ED6B7A" w:rsidRPr="00D755D3" w:rsidRDefault="00ED6B7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Współczynnik proporcji ekranu musi wynosić 16:9</w:t>
            </w:r>
          </w:p>
        </w:tc>
      </w:tr>
      <w:tr w:rsidR="00ED6B7A" w:rsidRPr="00D755D3" w14:paraId="5A9444D4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C1B704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96D9B0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A087C" w14:textId="2218F492" w:rsidR="00ED6B7A" w:rsidRPr="00D755D3" w:rsidRDefault="00ED6B7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 xml:space="preserve">Monitor musi posiadać minimum jedno złącze HDMI oraz minimum jedno złącze </w:t>
            </w:r>
            <w:proofErr w:type="spellStart"/>
            <w:r w:rsidRPr="00D755D3">
              <w:t>DisplayPort</w:t>
            </w:r>
            <w:proofErr w:type="spellEnd"/>
            <w:r w:rsidRPr="00D755D3">
              <w:t>.</w:t>
            </w:r>
          </w:p>
        </w:tc>
      </w:tr>
      <w:tr w:rsidR="00ED6B7A" w:rsidRPr="00D755D3" w14:paraId="1AD9D319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21534F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AC74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35C52B" w14:textId="129834BF" w:rsidR="00ED6B7A" w:rsidRPr="00D755D3" w:rsidRDefault="00ED6B7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</w:t>
            </w:r>
            <w:r>
              <w:t>onitor musi być koloru czarnego.</w:t>
            </w:r>
          </w:p>
        </w:tc>
      </w:tr>
      <w:tr w:rsidR="00ED6B7A" w:rsidRPr="00D755D3" w14:paraId="46659C76" w14:textId="77777777" w:rsidTr="008048EA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841CB5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E0F31" w14:textId="77777777" w:rsidR="00ED6B7A" w:rsidRPr="00D755D3" w:rsidRDefault="00ED6B7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390AF1" w14:textId="65199241" w:rsidR="00ED6B7A" w:rsidRPr="00D755D3" w:rsidRDefault="00ED6B7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t>Monitor musi mieć możliwość ustawienia na podstawie (na biurku) oraz możliwość montażu ściennego (VESA)</w:t>
            </w:r>
            <w:r>
              <w:t>.</w:t>
            </w:r>
          </w:p>
        </w:tc>
      </w:tr>
      <w:tr w:rsidR="00ED6B7A" w:rsidRPr="00D755D3" w14:paraId="4716BA11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ED91617" w14:textId="77777777" w:rsidR="00ED6B7A" w:rsidRPr="00D755D3" w:rsidRDefault="00ED6B7A" w:rsidP="00ED6B7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31732E" w14:textId="6C50B8BC" w:rsidR="00ED6B7A" w:rsidRPr="00ED6B7A" w:rsidRDefault="00ED6B7A" w:rsidP="00ED6B7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Parametr 8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BF237" w14:textId="77777777" w:rsidR="00ED6B7A" w:rsidRDefault="00ED6B7A" w:rsidP="00ED6B7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W zestawie z monitorem muszą być dołączone przewody: </w:t>
            </w:r>
          </w:p>
          <w:p w14:paraId="7E1813CC" w14:textId="33EBE425" w:rsidR="00ED6B7A" w:rsidRPr="00ED6B7A" w:rsidRDefault="00ED6B7A" w:rsidP="00ED6B7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kabel sygnałowy umożliwiający podłączenie monitora do 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lastRenderedPageBreak/>
              <w:t xml:space="preserve">zaoferowanej karty graficznej za pomocą interfejsu HDMI </w:t>
            </w:r>
            <w:r>
              <w:rPr>
                <w:rFonts w:ascii="Times New Roman" w:hAnsi="Times New Roman" w:cs="Times New Roman"/>
                <w:color w:val="000000" w:themeColor="text1"/>
              </w:rPr>
              <w:t>bez potrzeby stosowania dodatkowych przejściówek, adapterów itp. Kabel HDMI nie może być krótszy niż 1,5m i nie może być dłuższy niż 2m.</w:t>
            </w:r>
          </w:p>
          <w:p w14:paraId="291C8B3F" w14:textId="3CCA977C" w:rsidR="00ED6B7A" w:rsidRPr="00ED6B7A" w:rsidRDefault="00ED6B7A" w:rsidP="008048EA">
            <w:pPr>
              <w:pStyle w:val="Zawartotabeli"/>
              <w:keepLines/>
              <w:numPr>
                <w:ilvl w:val="0"/>
                <w:numId w:val="2"/>
              </w:numPr>
              <w:snapToGrid w:val="0"/>
              <w:ind w:left="714" w:hanging="357"/>
              <w:jc w:val="both"/>
              <w:rPr>
                <w:b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kabel zasilania 230V – Kabel </w:t>
            </w:r>
            <w:r>
              <w:rPr>
                <w:rFonts w:ascii="Times New Roman" w:hAnsi="Times New Roman" w:cs="Times New Roman"/>
                <w:color w:val="000000" w:themeColor="text1"/>
              </w:rPr>
              <w:t>nie może być krótszy niż 1,5m i nie może być dłuższy niż 2m.</w:t>
            </w:r>
          </w:p>
        </w:tc>
      </w:tr>
      <w:tr w:rsidR="00D755D3" w:rsidRPr="00D755D3" w14:paraId="48404378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303DB3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lastRenderedPageBreak/>
              <w:t>Klawiatura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BBC5E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A432DE" w14:textId="5E1747E9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Klawiatura klasyczna musi posiadać przewodowy interfejs połączeniowy USB 3.0 lu</w:t>
            </w:r>
            <w:r w:rsidR="002F19CE">
              <w:rPr>
                <w:rFonts w:ascii="Times New Roman" w:eastAsia="DejaVu Sans" w:hAnsi="Times New Roman" w:cs="Times New Roman"/>
              </w:rPr>
              <w:t>b 2.0 o długości minimum 150 cm.</w:t>
            </w:r>
          </w:p>
        </w:tc>
      </w:tr>
      <w:tr w:rsidR="00D755D3" w:rsidRPr="00D755D3" w14:paraId="44016A07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691DBF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A7095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1E5075" w14:textId="5341C1C8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Rozmieszczenie klawiszy klawiatury musi być standardu QWERTY z wydzieloną częścią numeryc</w:t>
            </w:r>
            <w:r w:rsidR="002F19CE">
              <w:rPr>
                <w:rFonts w:ascii="Times New Roman" w:eastAsia="DejaVu Sans" w:hAnsi="Times New Roman" w:cs="Times New Roman"/>
              </w:rPr>
              <w:t>zną i przyciskiem Windows Start.</w:t>
            </w:r>
          </w:p>
        </w:tc>
      </w:tr>
      <w:tr w:rsidR="00D755D3" w:rsidRPr="00D755D3" w14:paraId="11C6AE96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D5A00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2621C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FA70D0" w14:textId="57234D52" w:rsidR="00F53114" w:rsidRPr="00D755D3" w:rsidRDefault="00F53114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" w:hAnsi="Times New Roman" w:cs="Times New Roman"/>
              </w:rPr>
              <w:t xml:space="preserve">Klawiatura musi posiadać niski profil klawiszy z nadrukiem odpornym na ścieranie oraz wbudowaną podpórkę pod nadgarstki i </w:t>
            </w:r>
            <w:r w:rsidR="002F19CE">
              <w:rPr>
                <w:rFonts w:ascii="Times New Roman" w:eastAsia="DejaVu Sans" w:hAnsi="Times New Roman" w:cs="Times New Roman"/>
              </w:rPr>
              <w:t>regulowane nachylenie.</w:t>
            </w:r>
          </w:p>
        </w:tc>
      </w:tr>
      <w:tr w:rsidR="00D755D3" w:rsidRPr="00D755D3" w14:paraId="43BE4A36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46DDD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9761B2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BBC2A" w14:textId="1BDD5581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</w:t>
            </w:r>
            <w:r w:rsidR="002F19CE">
              <w:rPr>
                <w:rFonts w:ascii="Times New Roman" w:eastAsia="DejaVu Sans" w:hAnsi="Times New Roman" w:cs="Times New Roman"/>
              </w:rPr>
              <w:t>olor klawiatury musi być czarny.</w:t>
            </w:r>
          </w:p>
        </w:tc>
      </w:tr>
      <w:tr w:rsidR="00D755D3" w:rsidRPr="00D755D3" w14:paraId="25E0D26B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C0DF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C1213F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256001" w14:textId="77777777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Klawiatura musi być kompatybilna z zaoferowanym Systemem Operacyjnym.</w:t>
            </w:r>
          </w:p>
        </w:tc>
      </w:tr>
      <w:tr w:rsidR="00D755D3" w:rsidRPr="00D755D3" w14:paraId="44057941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F5145C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1ADDD2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BC974F" w14:textId="6C7DE73C" w:rsidR="00F53114" w:rsidRPr="00D755D3" w:rsidRDefault="00F53114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;Times New Roman" w:hAnsi="Times New Roman" w:cs="Times New Roman"/>
              </w:rPr>
              <w:t xml:space="preserve">Zewnętrzna przewodowa mysz optyczna musi posiadać przewodowy interfejs połączeniowy typu USB 3.0 lub 2.0 </w:t>
            </w:r>
            <w:r w:rsidR="002F19CE">
              <w:rPr>
                <w:rFonts w:ascii="Times New Roman" w:eastAsia="DejaVu Sans" w:hAnsi="Times New Roman" w:cs="Times New Roman"/>
              </w:rPr>
              <w:t>o długości minimum 150 cm.</w:t>
            </w:r>
          </w:p>
        </w:tc>
      </w:tr>
      <w:tr w:rsidR="00D755D3" w:rsidRPr="00D755D3" w14:paraId="38F27A54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099E5D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0D10E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4E53D2" w14:textId="18725535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Mysz musi posiadać minimum dwa p</w:t>
            </w:r>
            <w:r w:rsidR="002F19CE">
              <w:rPr>
                <w:rFonts w:ascii="Times New Roman" w:hAnsi="Times New Roman" w:cs="Times New Roman"/>
              </w:rPr>
              <w:t>rzyciski oraz rolkę przewijania.</w:t>
            </w:r>
          </w:p>
        </w:tc>
      </w:tr>
      <w:tr w:rsidR="00D755D3" w:rsidRPr="00D755D3" w14:paraId="63B2EF8B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4BB697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8A308" w14:textId="77777777" w:rsidR="00F53114" w:rsidRPr="00D755D3" w:rsidRDefault="00F53114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3647C" w14:textId="56DEEB08" w:rsidR="00F53114" w:rsidRPr="00D755D3" w:rsidRDefault="002F19CE" w:rsidP="00F53114">
            <w:pPr>
              <w:pStyle w:val="Zawartotabeli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Kolor myszy musi być czarny.</w:t>
            </w:r>
          </w:p>
        </w:tc>
      </w:tr>
      <w:tr w:rsidR="00D755D3" w:rsidRPr="00D755D3" w14:paraId="79507725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9C8322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5F8ED0" w14:textId="77777777" w:rsidR="00F53114" w:rsidRPr="00D755D3" w:rsidRDefault="00F53114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684C6" w14:textId="7525A567" w:rsidR="00F53114" w:rsidRPr="00D755D3" w:rsidRDefault="00F53114" w:rsidP="00F53114">
            <w:pPr>
              <w:pStyle w:val="Zawartotabeli"/>
              <w:snapToGrid w:val="0"/>
              <w:jc w:val="both"/>
            </w:pPr>
            <w:r w:rsidRPr="00D755D3">
              <w:rPr>
                <w:rFonts w:ascii="Times New Roman" w:eastAsia="DejaVu Sans;Times New Roman" w:hAnsi="Times New Roman" w:cs="Times New Roman"/>
              </w:rPr>
              <w:t>Zewnętrzna przewodowa mysz optyczna musi gwarantować prawidłową i stabilną pracę.</w:t>
            </w:r>
          </w:p>
        </w:tc>
      </w:tr>
      <w:tr w:rsidR="00D755D3" w:rsidRPr="00D755D3" w14:paraId="256EF382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F7B0C4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51F74" w14:textId="77777777" w:rsidR="00F53114" w:rsidRPr="00D755D3" w:rsidRDefault="00F53114" w:rsidP="00F53114">
            <w:pPr>
              <w:pStyle w:val="Zawartotabeli"/>
              <w:snapToGrid w:val="0"/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D46D39" w14:textId="67007DD3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W zestawie z myszą </w:t>
            </w:r>
            <w:r w:rsidR="00196D70">
              <w:rPr>
                <w:rFonts w:ascii="Times New Roman" w:eastAsia="DejaVu Sans" w:hAnsi="Times New Roman" w:cs="Times New Roman"/>
              </w:rPr>
              <w:t xml:space="preserve">musi </w:t>
            </w:r>
            <w:r w:rsidRPr="00D755D3">
              <w:rPr>
                <w:rFonts w:ascii="Times New Roman" w:eastAsia="DejaVu Sans" w:hAnsi="Times New Roman" w:cs="Times New Roman"/>
              </w:rPr>
              <w:t>być dostarczona podkładka dedykowana dla tego rodzaju urządzenia gwarantująca poprawną jej pracę.</w:t>
            </w:r>
          </w:p>
        </w:tc>
      </w:tr>
      <w:tr w:rsidR="00D755D3" w:rsidRPr="00D755D3" w14:paraId="7743E68C" w14:textId="77777777" w:rsidTr="008048EA">
        <w:trPr>
          <w:trHeight w:val="323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8086DD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C28E72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F942B" w14:textId="1C716AC3" w:rsidR="00F53114" w:rsidRPr="00D755D3" w:rsidRDefault="00F53114" w:rsidP="00F53114">
            <w:pPr>
              <w:snapToGrid w:val="0"/>
              <w:jc w:val="both"/>
            </w:pPr>
            <w:r w:rsidRPr="00D755D3">
              <w:rPr>
                <w:rFonts w:ascii="Times New Roman" w:eastAsia="Arial" w:hAnsi="Times New Roman" w:cs="Times New Roman"/>
              </w:rPr>
              <w:t>BIOS musi mieć możliwość ustawienia akt</w:t>
            </w:r>
            <w:r w:rsidR="002F19CE">
              <w:rPr>
                <w:rFonts w:ascii="Times New Roman" w:eastAsia="Arial" w:hAnsi="Times New Roman" w:cs="Times New Roman"/>
              </w:rPr>
              <w:t>ualnego czasu i daty systemowej.</w:t>
            </w:r>
          </w:p>
        </w:tc>
      </w:tr>
      <w:tr w:rsidR="00D755D3" w:rsidRPr="00D755D3" w14:paraId="77D22790" w14:textId="77777777" w:rsidTr="008048EA">
        <w:trPr>
          <w:trHeight w:val="323"/>
        </w:trPr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F07A2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AF63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14AA33" w14:textId="30354433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 xml:space="preserve">BIOS musi mieć możliwość włączenia/wyłączenia zintegrowanych portów i urządzeń płyty głównej służących do komunikacji  między innymi: USB, port równoległy, port </w:t>
            </w:r>
            <w:r w:rsidR="002F19CE">
              <w:rPr>
                <w:rFonts w:ascii="Times New Roman" w:eastAsia="Arial" w:hAnsi="Times New Roman" w:cs="Times New Roman"/>
              </w:rPr>
              <w:t>szeregowy, karta sieciowa, itp..</w:t>
            </w:r>
          </w:p>
        </w:tc>
      </w:tr>
      <w:tr w:rsidR="00D755D3" w:rsidRPr="00D755D3" w14:paraId="71F0A031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44B2A0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92F1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631A31" w14:textId="6D9A9C3F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 blokowania/odblokowania (</w:t>
            </w:r>
            <w:proofErr w:type="spellStart"/>
            <w:r w:rsidRPr="00D755D3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D755D3">
              <w:rPr>
                <w:rFonts w:ascii="Times New Roman" w:eastAsia="Arial" w:hAnsi="Times New Roman" w:cs="Times New Roman"/>
              </w:rPr>
              <w:t>) stacji r</w:t>
            </w:r>
            <w:r w:rsidR="002F19CE">
              <w:rPr>
                <w:rFonts w:ascii="Times New Roman" w:eastAsia="Arial" w:hAnsi="Times New Roman" w:cs="Times New Roman"/>
              </w:rPr>
              <w:t>oboczej z zewnętrznych urządzeń.</w:t>
            </w:r>
          </w:p>
        </w:tc>
      </w:tr>
      <w:tr w:rsidR="00D755D3" w:rsidRPr="00D755D3" w14:paraId="6D3A30C3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E6233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4A15AB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2E247B" w14:textId="1A88EB75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 ustawienia sekwencji uruchamiani</w:t>
            </w:r>
            <w:r w:rsidR="002F19CE">
              <w:rPr>
                <w:rFonts w:ascii="Times New Roman" w:eastAsia="Arial" w:hAnsi="Times New Roman" w:cs="Times New Roman"/>
              </w:rPr>
              <w:t>a  (</w:t>
            </w:r>
            <w:proofErr w:type="spellStart"/>
            <w:r w:rsidR="002F19CE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="002F19CE">
              <w:rPr>
                <w:rFonts w:ascii="Times New Roman" w:eastAsia="Arial" w:hAnsi="Times New Roman" w:cs="Times New Roman"/>
              </w:rPr>
              <w:t>) dysków twardych.</w:t>
            </w:r>
          </w:p>
        </w:tc>
      </w:tr>
      <w:tr w:rsidR="00D755D3" w:rsidRPr="00D755D3" w14:paraId="69982641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D9DE0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4E9016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A839F" w14:textId="37B272B6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blokowania/odblokowania możliwości własnej aktuali</w:t>
            </w:r>
            <w:r w:rsidR="002F19CE">
              <w:rPr>
                <w:rFonts w:ascii="Times New Roman" w:eastAsia="Arial" w:hAnsi="Times New Roman" w:cs="Times New Roman"/>
              </w:rPr>
              <w:t>zacji (próba zapisu do pamięci).</w:t>
            </w:r>
          </w:p>
        </w:tc>
      </w:tr>
      <w:tr w:rsidR="00D755D3" w:rsidRPr="00D755D3" w14:paraId="6D098DFB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006DFF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889611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007C" w14:textId="7114CBE5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D755D3">
              <w:rPr>
                <w:rFonts w:ascii="Times New Roman" w:eastAsia="Arial" w:hAnsi="Times New Roman" w:cs="Times New Roman"/>
              </w:rPr>
              <w:t>BIOS musi mieć możliwość blokowania dostępu do BIOS z</w:t>
            </w:r>
            <w:r w:rsidR="002F19CE">
              <w:rPr>
                <w:rFonts w:ascii="Times New Roman" w:eastAsia="Arial" w:hAnsi="Times New Roman" w:cs="Times New Roman"/>
              </w:rPr>
              <w:t>a pomocą hasła „Administratora”.</w:t>
            </w:r>
          </w:p>
        </w:tc>
      </w:tr>
      <w:tr w:rsidR="00D755D3" w:rsidRPr="00D755D3" w14:paraId="3388B70C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8B678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9CDCCE" w14:textId="77777777" w:rsidR="00F53114" w:rsidRPr="00D755D3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FA20E" w14:textId="2C34BF2E" w:rsidR="00F53114" w:rsidRPr="00D755D3" w:rsidRDefault="00F53114" w:rsidP="00F53114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D755D3">
              <w:rPr>
                <w:rFonts w:ascii="Times New Roman" w:eastAsia="Arial" w:hAnsi="Times New Roman" w:cs="Times New Roman"/>
              </w:rPr>
              <w:t xml:space="preserve">BIOS musi mieć możliwość zatrzymania zapisanego hasła w pamięci przy jednoczesnym odłączeniu wszystkich zewnętrznych </w:t>
            </w:r>
            <w:r w:rsidRPr="00D755D3">
              <w:rPr>
                <w:rFonts w:ascii="Times New Roman" w:eastAsia="Arial" w:hAnsi="Times New Roman" w:cs="Times New Roman"/>
              </w:rPr>
              <w:lastRenderedPageBreak/>
              <w:t>źródeł zasilania.</w:t>
            </w:r>
          </w:p>
        </w:tc>
      </w:tr>
      <w:tr w:rsidR="00D755D3" w:rsidRPr="001A013B" w14:paraId="6399EA13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167CF" w14:textId="77777777" w:rsidR="00F53114" w:rsidRPr="00D755D3" w:rsidRDefault="00F53114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lastRenderedPageBreak/>
              <w:t>System Operacyjny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84E3C" w14:textId="77777777" w:rsidR="00F53114" w:rsidRPr="00D755D3" w:rsidRDefault="00F53114" w:rsidP="008048EA">
            <w:pPr>
              <w:pStyle w:val="Zawartotabeli"/>
              <w:keepNext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0CAEC7" w14:textId="49B49C60" w:rsidR="00F53114" w:rsidRPr="00F6081E" w:rsidRDefault="00F53114" w:rsidP="008048EA">
            <w:pPr>
              <w:keepNext/>
              <w:snapToGrid w:val="0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F6081E">
              <w:rPr>
                <w:rFonts w:ascii="Times New Roman" w:eastAsia="DejaVu Sans" w:hAnsi="Times New Roman" w:cs="Times New Roman"/>
                <w:lang w:val="en-US"/>
              </w:rPr>
              <w:t>MS Windows 10 Professional PL 64 bit</w:t>
            </w:r>
            <w:r w:rsidR="002F19CE" w:rsidRPr="00F6081E">
              <w:rPr>
                <w:rFonts w:ascii="Times New Roman" w:eastAsia="DejaVu Sans" w:hAnsi="Times New Roman" w:cs="Times New Roman"/>
                <w:lang w:val="en-US"/>
              </w:rPr>
              <w:t>.</w:t>
            </w:r>
          </w:p>
        </w:tc>
      </w:tr>
      <w:tr w:rsidR="00D755D3" w:rsidRPr="00D755D3" w14:paraId="3AE7D287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56FA90" w14:textId="77777777" w:rsidR="00F53114" w:rsidRPr="00F6081E" w:rsidRDefault="00F53114" w:rsidP="00F53114">
            <w:pPr>
              <w:pStyle w:val="Zawartotabeli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D74DEF" w14:textId="192FDE47" w:rsidR="00F53114" w:rsidRPr="00D755D3" w:rsidRDefault="00F53114" w:rsidP="00F5311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 xml:space="preserve">Parametr </w:t>
            </w:r>
            <w:r w:rsidR="00A31EA2" w:rsidRPr="00D75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5D20C" w14:textId="5B98070F" w:rsidR="00F53114" w:rsidRPr="00D755D3" w:rsidRDefault="00F53114" w:rsidP="008048EA">
            <w:pPr>
              <w:keepLines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Oferowany system operacyjny musi być fabrycznie nowy. Fabrycznie nowy oznacza, że oprogramowanie nigdy nie było instalowane, aktywowane i używane na innym komputerze niż oferowany produkt.</w:t>
            </w:r>
          </w:p>
        </w:tc>
      </w:tr>
      <w:tr w:rsidR="00D755D3" w:rsidRPr="00D755D3" w14:paraId="2EED7481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45969" w14:textId="77777777" w:rsidR="00A31EA2" w:rsidRPr="00D755D3" w:rsidRDefault="00A31EA2" w:rsidP="00A31EA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66FF36" w14:textId="77777777" w:rsidR="00A31EA2" w:rsidRPr="00D755D3" w:rsidRDefault="00A31EA2" w:rsidP="00A31EA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BDE8C3" w14:textId="77777777" w:rsidR="00A31EA2" w:rsidRPr="00D755D3" w:rsidRDefault="00A31EA2" w:rsidP="00A31EA2">
            <w:p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Pakiet oprogramowania biurowego  Microsoft Office minimum w wersji 2016 przeznaczone dla użytkowników domowych i małych firm. Pakiet oprogramowania biurowego zawiera następujące podprogramy:</w:t>
            </w:r>
          </w:p>
          <w:p w14:paraId="0F972C60" w14:textId="77777777" w:rsidR="00A31EA2" w:rsidRPr="00D755D3" w:rsidRDefault="00A31EA2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Word;</w:t>
            </w:r>
          </w:p>
          <w:p w14:paraId="358E26CF" w14:textId="77777777" w:rsidR="00A31EA2" w:rsidRPr="00D755D3" w:rsidRDefault="00A31EA2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Excel;</w:t>
            </w:r>
          </w:p>
          <w:p w14:paraId="29739510" w14:textId="77777777" w:rsidR="00A31EA2" w:rsidRPr="00D755D3" w:rsidRDefault="00A31EA2" w:rsidP="00A31EA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MS PowerPoint; </w:t>
            </w:r>
          </w:p>
          <w:p w14:paraId="589D8B14" w14:textId="522A53B0" w:rsidR="00A31EA2" w:rsidRPr="00D755D3" w:rsidRDefault="00A31EA2" w:rsidP="00A31EA2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;Times New Roman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Outlook;</w:t>
            </w:r>
          </w:p>
        </w:tc>
      </w:tr>
      <w:tr w:rsidR="00B75886" w:rsidRPr="00D755D3" w14:paraId="31CFF9C9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6DA068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F7026" w14:textId="6AFE7153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3DD8A2" w14:textId="77777777" w:rsidR="00B75886" w:rsidRPr="00FB1F46" w:rsidRDefault="00B75886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Dopuszcza się rozwiązania równoważne oferujące:</w:t>
            </w:r>
          </w:p>
          <w:p w14:paraId="58AC9C83" w14:textId="77777777" w:rsidR="00B75886" w:rsidRPr="00FB1F46" w:rsidRDefault="00B75886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Pełną kompatybilność z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70FD2960" w14:textId="77777777" w:rsidR="00B75886" w:rsidRPr="00FB1F46" w:rsidRDefault="00B75886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Pełną edycję dokumentów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3B293545" w14:textId="77777777" w:rsidR="00B75886" w:rsidRPr="00FB1F46" w:rsidRDefault="00B75886" w:rsidP="00B75886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Tą samą lub większą funkcjonalność jak w przypadku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;</w:t>
            </w:r>
          </w:p>
          <w:p w14:paraId="5B6E4EC0" w14:textId="36ED7966" w:rsidR="00B75886" w:rsidRPr="00D755D3" w:rsidRDefault="00B75886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</w:pP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Pełna kompatybilność oznacza, że dokument stworzony w jednym z w/w programów pakietu MS Office 2016 otwarty 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t>w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 xml:space="preserve"> 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FB1F46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>
              <w:rPr>
                <w:rFonts w:ascii="Times New Roman" w:eastAsia="DejaVu Sans" w:hAnsi="Times New Roman" w:cs="Times New Roman"/>
                <w:color w:val="000000" w:themeColor="text1"/>
              </w:rPr>
              <w:t xml:space="preserve"> </w:t>
            </w:r>
            <w:r w:rsidRPr="00FB1F46">
              <w:rPr>
                <w:rFonts w:ascii="Times New Roman" w:eastAsia="DejaVu Sans" w:hAnsi="Times New Roman" w:cs="Times New Roman"/>
                <w:color w:val="000000" w:themeColor="text1"/>
              </w:rPr>
              <w:t>bez konieczności dodatkowej edycji otwartego dokumentu lub użycia dodatkowego oprogramowania.</w:t>
            </w:r>
          </w:p>
        </w:tc>
      </w:tr>
      <w:tr w:rsidR="00B75886" w:rsidRPr="00D755D3" w14:paraId="56089BCE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A3451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25D74C" w14:textId="3E4E6681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C17093" w14:textId="77777777" w:rsidR="00B75886" w:rsidRPr="00D755D3" w:rsidRDefault="00B75886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Zaoferowany pakiet oprogramowania powinien być w wersji odpowiedniej do zaoferowanego systemu operacyjnego oraz   architektury komputera.</w:t>
            </w:r>
          </w:p>
        </w:tc>
      </w:tr>
      <w:tr w:rsidR="00B75886" w:rsidRPr="00D755D3" w14:paraId="0D197359" w14:textId="77777777" w:rsidTr="008048EA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4E16F6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D3AF24" w14:textId="7A64A43D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F2AE67" w14:textId="77777777" w:rsidR="00B75886" w:rsidRPr="00D755D3" w:rsidRDefault="00B75886" w:rsidP="00B75886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>Oferowane oprogramowanie biurowe musi być fabrycznie nowe. Fabrycznie nowe oznacza, iż dostarczona licencja do oprogramowania nigdy nie była aktywowana i używana przez inne instytucje lub osoby.</w:t>
            </w:r>
          </w:p>
        </w:tc>
      </w:tr>
      <w:tr w:rsidR="002F6242" w:rsidRPr="00D755D3" w14:paraId="57FDCA0B" w14:textId="77777777" w:rsidTr="008048EA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6C310D" w14:textId="34F32174" w:rsidR="002F6242" w:rsidRPr="00D755D3" w:rsidRDefault="002F6242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A2BAFB" w14:textId="4ADFDD7E" w:rsidR="002F6242" w:rsidRPr="00D755D3" w:rsidRDefault="002F6242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Pkt 1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EC0161" w14:textId="36C5C88F" w:rsidR="002F6242" w:rsidRPr="00D755D3" w:rsidRDefault="002F6242" w:rsidP="00B7588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Adobe Photoshop CC – 1 </w:t>
            </w:r>
            <w:r w:rsidRPr="00D755D3"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>subskrypcj</w:t>
            </w:r>
            <w:r w:rsidR="00756B1C"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>a</w:t>
            </w:r>
            <w:r w:rsidRPr="00D755D3">
              <w:rPr>
                <w:rFonts w:ascii="Times New Roman" w:eastAsia="Times New Roman" w:hAnsi="Times New Roman" w:cs="Times New Roman"/>
                <w:bCs/>
                <w:lang w:eastAsia="pl-PL" w:bidi="ar-SA"/>
              </w:rPr>
              <w:t xml:space="preserve"> na okres 1 roku. </w:t>
            </w:r>
          </w:p>
        </w:tc>
      </w:tr>
      <w:tr w:rsidR="002F6242" w:rsidRPr="00D755D3" w14:paraId="10609E6D" w14:textId="77777777" w:rsidTr="008048EA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D23368" w14:textId="77777777" w:rsidR="002F6242" w:rsidRPr="00D755D3" w:rsidRDefault="002F6242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0AE0E5" w14:textId="1DAF95C1" w:rsidR="002F6242" w:rsidRPr="00D755D3" w:rsidRDefault="002F6242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Pkt 2</w:t>
            </w:r>
          </w:p>
        </w:tc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6268F1" w14:textId="1EEAF500" w:rsidR="002F6242" w:rsidRPr="00D755D3" w:rsidRDefault="002F6242" w:rsidP="00B75886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55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Nero 201</w:t>
            </w:r>
            <w:r w:rsidR="00756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755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Platinum PL BOX – licencja jednostanowiskowa, dożywotnia. Dostawca dołącza nośnik z oprogramowaniem. </w:t>
            </w:r>
          </w:p>
        </w:tc>
      </w:tr>
    </w:tbl>
    <w:p w14:paraId="25A2E76C" w14:textId="77777777" w:rsidR="008048EA" w:rsidRDefault="008048EA" w:rsidP="00B75886">
      <w:pPr>
        <w:pStyle w:val="Zawartotabeli"/>
        <w:snapToGrid w:val="0"/>
        <w:rPr>
          <w:rFonts w:ascii="Times New Roman" w:hAnsi="Times New Roman" w:cs="Times New Roman"/>
        </w:rPr>
        <w:sectPr w:rsidR="008048EA" w:rsidSect="007519C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5" w:left="1134" w:header="340" w:footer="227" w:gutter="0"/>
          <w:cols w:space="708"/>
          <w:formProt w:val="0"/>
          <w:titlePg/>
          <w:docGrid w:linePitch="360" w:charSpace="-6145"/>
        </w:sectPr>
      </w:pPr>
    </w:p>
    <w:tbl>
      <w:tblPr>
        <w:tblW w:w="9656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169"/>
        <w:gridCol w:w="6666"/>
      </w:tblGrid>
      <w:tr w:rsidR="00B75886" w:rsidRPr="00D755D3" w14:paraId="4722953C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03445" w14:textId="08079319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lastRenderedPageBreak/>
              <w:t>Certyfikaty i inne wymagania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D1F7FC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34BDF" w14:textId="7861E86E" w:rsidR="00B75886" w:rsidRPr="00D755D3" w:rsidRDefault="00B75886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posiadać deklaracje zgodności lub/i  certyfikat CE. Zamawiający wymaga dostarczenia w/w dokumentów w postaci papierowej potwierdzającego posiadanie</w:t>
            </w:r>
            <w:r w:rsidR="002F19CE">
              <w:rPr>
                <w:rFonts w:ascii="Times New Roman" w:hAnsi="Times New Roman" w:cs="Times New Roman"/>
              </w:rPr>
              <w:t xml:space="preserve"> przez każdy zestaw komputerowy.</w:t>
            </w:r>
          </w:p>
        </w:tc>
      </w:tr>
      <w:tr w:rsidR="00B75886" w:rsidRPr="00D755D3" w14:paraId="7091D747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C3F5DE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BFBAC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B2CDE7" w14:textId="73E1FFF7" w:rsidR="00B75886" w:rsidRPr="00D755D3" w:rsidRDefault="00B75886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zawierać licencje na każde oprogramowanie w postaci papierowej lub/i elektronicznej (np. naklejki producenta oprogramowania, pliku licencyjnego, itp.) oraz wszystkie informacje konieczne do zainstalowania i zarejestrowania tego oprogramowania (numery licencji, numery seryjne,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5886" w:rsidRPr="00D755D3" w14:paraId="12FFAE00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FD491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BA7958" w14:textId="223ADA1F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CE076C" w14:textId="618E6838" w:rsidR="00B75886" w:rsidRPr="00D755D3" w:rsidRDefault="00B75886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Zamawiający musi mieć możliwość otwieran</w:t>
            </w:r>
            <w:r w:rsidR="002F19CE">
              <w:rPr>
                <w:rFonts w:ascii="Times New Roman" w:hAnsi="Times New Roman" w:cs="Times New Roman"/>
              </w:rPr>
              <w:t>ia obudowy bez utraty gwarancji.</w:t>
            </w:r>
          </w:p>
        </w:tc>
      </w:tr>
      <w:tr w:rsidR="00B75886" w:rsidRPr="00D755D3" w14:paraId="441F3D16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C301E6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2CD4D5" w14:textId="7E7371E5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EDC805" w14:textId="73F0A704" w:rsidR="00B75886" w:rsidRPr="00D755D3" w:rsidRDefault="00B75886" w:rsidP="008048EA">
            <w:pPr>
              <w:pStyle w:val="Zawartotabeli"/>
              <w:keepLines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D755D3">
              <w:rPr>
                <w:rFonts w:ascii="Times New Roman" w:eastAsia="DejaVu Sans" w:hAnsi="Times New Roman" w:cs="Times New Roman"/>
              </w:rPr>
              <w:t xml:space="preserve">Dyski twarde w przypadku uszkodzenia nie są zwracane do Wykonawcy. Zamawiający pozostawia u siebie uszkodzony dysk twardy. Weryfikacja uszkodzenia dysku odbywa się w siedzibie Zamawiającego. </w:t>
            </w:r>
          </w:p>
        </w:tc>
      </w:tr>
      <w:tr w:rsidR="00B75886" w:rsidRPr="00D755D3" w14:paraId="05F02F5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774397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68E673" w14:textId="537A196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5DA783" w14:textId="4B970D3B" w:rsidR="00B75886" w:rsidRPr="00D755D3" w:rsidRDefault="00B75886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Zestaw komputerowy musi być przystosowany do pracy w polskiej sieci energetycznej – zasi</w:t>
            </w:r>
            <w:r w:rsidR="002F19CE">
              <w:rPr>
                <w:rFonts w:ascii="Times New Roman" w:hAnsi="Times New Roman" w:cs="Times New Roman"/>
              </w:rPr>
              <w:t>lany napięciem przemiennym 230V.</w:t>
            </w:r>
          </w:p>
        </w:tc>
      </w:tr>
      <w:tr w:rsidR="00B75886" w:rsidRPr="00D755D3" w14:paraId="572906F8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814D6" w14:textId="77777777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A42AB6" w14:textId="7F4EE715" w:rsidR="00B75886" w:rsidRPr="00D755D3" w:rsidRDefault="00B75886" w:rsidP="00B7588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076136" w14:textId="50ACC904" w:rsidR="00B75886" w:rsidRPr="00D755D3" w:rsidRDefault="00B75886" w:rsidP="00B7588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D755D3">
              <w:rPr>
                <w:rFonts w:ascii="Times New Roman" w:hAnsi="Times New Roman" w:cs="Times New Roman"/>
              </w:rPr>
              <w:t>Gwarancja na zestaw komputerowy musi wynosić minimum 24 miesiące.</w:t>
            </w:r>
          </w:p>
        </w:tc>
      </w:tr>
    </w:tbl>
    <w:p w14:paraId="63551B3C" w14:textId="78F3C858" w:rsidR="00F6081E" w:rsidRPr="008048EA" w:rsidRDefault="00E66D3D" w:rsidP="00F6081E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  <w:r w:rsidRPr="00D755D3">
        <w:rPr>
          <w:rFonts w:ascii="Times New Roman" w:eastAsia="DejaVu Sans;Times New Roman" w:hAnsi="Times New Roman" w:cs="Times New Roman"/>
        </w:rPr>
        <w:t xml:space="preserve">Wykonawca zobowiązany jest do rozszerzenia licencji ESET </w:t>
      </w:r>
      <w:proofErr w:type="spellStart"/>
      <w:r w:rsidRPr="00D755D3">
        <w:rPr>
          <w:rFonts w:ascii="Times New Roman" w:eastAsia="DejaVu Sans;Times New Roman" w:hAnsi="Times New Roman" w:cs="Times New Roman"/>
        </w:rPr>
        <w:t>Endpoint</w:t>
      </w:r>
      <w:proofErr w:type="spellEnd"/>
      <w:r w:rsidRPr="00D755D3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D755D3">
        <w:rPr>
          <w:rFonts w:ascii="Times New Roman" w:eastAsia="DejaVu Sans;Times New Roman" w:hAnsi="Times New Roman" w:cs="Times New Roman"/>
        </w:rPr>
        <w:t>Antivirus</w:t>
      </w:r>
      <w:proofErr w:type="spellEnd"/>
      <w:r w:rsidRPr="00D755D3">
        <w:rPr>
          <w:rFonts w:ascii="Times New Roman" w:eastAsia="DejaVu Sans;Times New Roman" w:hAnsi="Times New Roman" w:cs="Times New Roman"/>
        </w:rPr>
        <w:t xml:space="preserve"> NOD32 Suite nr </w:t>
      </w:r>
      <w:r w:rsidR="0033179B" w:rsidRPr="0033179B">
        <w:rPr>
          <w:rFonts w:ascii="Times New Roman" w:eastAsia="DejaVu Sans;Times New Roman" w:hAnsi="Times New Roman" w:cs="Times New Roman"/>
        </w:rPr>
        <w:t xml:space="preserve">NL2018/039464 </w:t>
      </w:r>
      <w:r w:rsidR="00196D70">
        <w:rPr>
          <w:rFonts w:ascii="Times New Roman" w:eastAsia="DejaVu Sans;Times New Roman" w:hAnsi="Times New Roman" w:cs="Times New Roman"/>
        </w:rPr>
        <w:t>o 1 sztukę</w:t>
      </w:r>
      <w:r w:rsidRPr="00D755D3">
        <w:rPr>
          <w:rFonts w:ascii="Times New Roman" w:eastAsia="DejaVu Sans;Times New Roman" w:hAnsi="Times New Roman" w:cs="Times New Roman"/>
        </w:rPr>
        <w:t xml:space="preserve"> </w:t>
      </w:r>
      <w:r w:rsidR="00454EEF" w:rsidRPr="00D755D3">
        <w:rPr>
          <w:rFonts w:ascii="Times New Roman" w:eastAsia="DejaVu Sans;Times New Roman" w:hAnsi="Times New Roman" w:cs="Times New Roman"/>
        </w:rPr>
        <w:t xml:space="preserve">dla </w:t>
      </w:r>
      <w:r w:rsidR="00196D70">
        <w:rPr>
          <w:rFonts w:ascii="Times New Roman" w:eastAsia="DejaVu Sans;Times New Roman" w:hAnsi="Times New Roman" w:cs="Times New Roman"/>
        </w:rPr>
        <w:t>dostarczonego Komputera Mobilnego</w:t>
      </w:r>
      <w:r w:rsidR="00454EEF" w:rsidRPr="00D755D3">
        <w:rPr>
          <w:rFonts w:ascii="Times New Roman" w:eastAsia="DejaVu Sans;Times New Roman" w:hAnsi="Times New Roman" w:cs="Times New Roman"/>
        </w:rPr>
        <w:t xml:space="preserve">. </w:t>
      </w:r>
      <w:r w:rsidRPr="00D755D3">
        <w:rPr>
          <w:rFonts w:ascii="Times New Roman" w:eastAsia="DejaVu Sans;Times New Roman" w:hAnsi="Times New Roman" w:cs="Times New Roman"/>
        </w:rPr>
        <w:t>Rozszerzenie licencji musi posiadać ważność od dnia dostawy do siedziby zamawiającego.</w:t>
      </w:r>
    </w:p>
    <w:sectPr w:rsidR="00F6081E" w:rsidRPr="008048EA" w:rsidSect="00677215">
      <w:headerReference w:type="first" r:id="rId15"/>
      <w:footerReference w:type="first" r:id="rId16"/>
      <w:pgSz w:w="11906" w:h="16838"/>
      <w:pgMar w:top="1134" w:right="1134" w:bottom="1276" w:left="1134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EBDD" w14:textId="77777777" w:rsidR="00BC6534" w:rsidRDefault="00BC6534">
      <w:r>
        <w:separator/>
      </w:r>
    </w:p>
  </w:endnote>
  <w:endnote w:type="continuationSeparator" w:id="0">
    <w:p w14:paraId="37D4C76A" w14:textId="77777777" w:rsidR="00BC6534" w:rsidRDefault="00BC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4A8B" w14:textId="77777777" w:rsidR="00677215" w:rsidRPr="00B92C18" w:rsidRDefault="00677215" w:rsidP="0067721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66</w:t>
    </w:r>
    <w:r w:rsidRPr="00B92C18">
      <w:rPr>
        <w:szCs w:val="24"/>
      </w:rPr>
      <w:t>/201</w:t>
    </w:r>
    <w:r>
      <w:rPr>
        <w:szCs w:val="24"/>
      </w:rPr>
      <w:t xml:space="preserve">9/ZP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1A013B">
      <w:rPr>
        <w:noProof/>
        <w:szCs w:val="24"/>
      </w:rPr>
      <w:t>5</w:t>
    </w:r>
    <w:r w:rsidRPr="00B92C18">
      <w:rPr>
        <w:szCs w:val="24"/>
      </w:rPr>
      <w:fldChar w:fldCharType="end"/>
    </w:r>
  </w:p>
  <w:p w14:paraId="2D3B864C" w14:textId="77777777" w:rsidR="00677215" w:rsidRDefault="00677215" w:rsidP="00677215">
    <w:pPr>
      <w:pStyle w:val="Stopka"/>
      <w:tabs>
        <w:tab w:val="clear" w:pos="4536"/>
        <w:tab w:val="clear" w:pos="9072"/>
        <w:tab w:val="left" w:pos="500"/>
      </w:tabs>
    </w:pPr>
    <w:r>
      <w:tab/>
    </w:r>
  </w:p>
  <w:p w14:paraId="54CCB8ED" w14:textId="77777777" w:rsidR="00677215" w:rsidRDefault="006772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A08DA" w14:textId="77777777" w:rsidR="00FF5D12" w:rsidRDefault="00FF5D12" w:rsidP="00FF5D12">
    <w:pPr>
      <w:pStyle w:val="Nagwek"/>
    </w:pPr>
  </w:p>
  <w:p w14:paraId="7D328F6C" w14:textId="77777777" w:rsidR="00FF5D12" w:rsidRDefault="00FF5D12" w:rsidP="00FF5D12"/>
  <w:p w14:paraId="17B528BC" w14:textId="77777777" w:rsidR="00FF5D12" w:rsidRPr="00B92C18" w:rsidRDefault="00FF5D12" w:rsidP="00FF5D1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66</w:t>
    </w:r>
    <w:r w:rsidRPr="00B92C18">
      <w:rPr>
        <w:szCs w:val="24"/>
      </w:rPr>
      <w:t>/201</w:t>
    </w:r>
    <w:r>
      <w:rPr>
        <w:szCs w:val="24"/>
      </w:rPr>
      <w:t xml:space="preserve">9/ZP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1A013B">
      <w:rPr>
        <w:noProof/>
        <w:szCs w:val="24"/>
      </w:rPr>
      <w:t>1</w:t>
    </w:r>
    <w:r w:rsidRPr="00B92C18">
      <w:rPr>
        <w:szCs w:val="24"/>
      </w:rPr>
      <w:fldChar w:fldCharType="end"/>
    </w:r>
  </w:p>
  <w:p w14:paraId="1BE86993" w14:textId="77777777" w:rsidR="00FF5D12" w:rsidRDefault="00FF5D12" w:rsidP="00FF5D12">
    <w:pPr>
      <w:pStyle w:val="Stopka"/>
      <w:tabs>
        <w:tab w:val="clear" w:pos="4536"/>
        <w:tab w:val="clear" w:pos="9072"/>
        <w:tab w:val="left" w:pos="500"/>
      </w:tabs>
    </w:pPr>
    <w:r>
      <w:tab/>
    </w:r>
  </w:p>
  <w:p w14:paraId="06319FDE" w14:textId="3E26E580" w:rsidR="00034BB1" w:rsidRDefault="00034BB1" w:rsidP="00034BB1">
    <w:pPr>
      <w:pStyle w:val="Stopka"/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495D" w14:textId="77777777" w:rsidR="00677215" w:rsidRPr="00B92C18" w:rsidRDefault="00677215" w:rsidP="0067721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66</w:t>
    </w:r>
    <w:r w:rsidRPr="00B92C18">
      <w:rPr>
        <w:szCs w:val="24"/>
      </w:rPr>
      <w:t>/201</w:t>
    </w:r>
    <w:r>
      <w:rPr>
        <w:szCs w:val="24"/>
      </w:rPr>
      <w:t xml:space="preserve">9/ZP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1A013B">
      <w:rPr>
        <w:noProof/>
        <w:szCs w:val="24"/>
      </w:rPr>
      <w:t>6</w:t>
    </w:r>
    <w:r w:rsidRPr="00B92C18">
      <w:rPr>
        <w:szCs w:val="24"/>
      </w:rPr>
      <w:fldChar w:fldCharType="end"/>
    </w:r>
  </w:p>
  <w:p w14:paraId="78162ABB" w14:textId="77777777" w:rsidR="00677215" w:rsidRDefault="00677215" w:rsidP="00677215">
    <w:pPr>
      <w:pStyle w:val="Stopka"/>
      <w:tabs>
        <w:tab w:val="clear" w:pos="4536"/>
        <w:tab w:val="clear" w:pos="9072"/>
        <w:tab w:val="left" w:pos="500"/>
      </w:tabs>
    </w:pPr>
    <w:r>
      <w:tab/>
    </w:r>
  </w:p>
  <w:p w14:paraId="5EA2A198" w14:textId="539B2FD8" w:rsidR="00246A16" w:rsidRPr="00677215" w:rsidRDefault="00246A16" w:rsidP="00677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984D1" w14:textId="77777777" w:rsidR="00BC6534" w:rsidRDefault="00BC6534">
      <w:r>
        <w:separator/>
      </w:r>
    </w:p>
  </w:footnote>
  <w:footnote w:type="continuationSeparator" w:id="0">
    <w:p w14:paraId="412BA8C1" w14:textId="77777777" w:rsidR="00BC6534" w:rsidRDefault="00BC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65AC8" w14:textId="77777777" w:rsidR="00677215" w:rsidRDefault="00677215" w:rsidP="001803A9">
    <w:pPr>
      <w:pStyle w:val="Nagwek"/>
      <w:jc w:val="right"/>
      <w:rPr>
        <w:rFonts w:ascii="Times New Roman" w:hAnsi="Times New Roman" w:cs="Times New Roman"/>
        <w:szCs w:val="24"/>
      </w:rPr>
    </w:pPr>
  </w:p>
  <w:p w14:paraId="3106BE08" w14:textId="5E5632E6" w:rsidR="001803A9" w:rsidRDefault="00FF5D12" w:rsidP="001803A9">
    <w:pPr>
      <w:pStyle w:val="Nagwek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Załącznik nr 1d do SIWZ</w:t>
    </w:r>
  </w:p>
  <w:p w14:paraId="5873677E" w14:textId="77777777" w:rsidR="00FF5D12" w:rsidRPr="00FF5D12" w:rsidRDefault="00FF5D12" w:rsidP="00FF5D12">
    <w:pPr>
      <w:pStyle w:val="Tekstpodstawowy"/>
    </w:pPr>
  </w:p>
  <w:p w14:paraId="10F82AAF" w14:textId="77777777" w:rsidR="001803A9" w:rsidRDefault="00180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61A4" w14:textId="13207BEB" w:rsidR="003D323C" w:rsidRDefault="00880587" w:rsidP="00880587">
    <w:pPr>
      <w:pStyle w:val="Nagwek"/>
      <w:tabs>
        <w:tab w:val="left" w:pos="2980"/>
        <w:tab w:val="right" w:pos="9638"/>
      </w:tabs>
      <w:rPr>
        <w:rFonts w:ascii="Times New Roman" w:eastAsiaTheme="minorHAnsi" w:hAnsi="Times New Roman" w:cs="Times New Roman"/>
        <w:szCs w:val="24"/>
        <w:lang w:eastAsia="en-US" w:bidi="ar-SA"/>
      </w:rPr>
    </w:pPr>
    <w:r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ab/>
      <w:t>Załącznik nr 1d do SIWZ</w:t>
    </w:r>
  </w:p>
  <w:p w14:paraId="01D42E26" w14:textId="77777777" w:rsidR="00F6081E" w:rsidRPr="003D323C" w:rsidRDefault="00F6081E" w:rsidP="003D32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8FE60" w14:textId="77777777" w:rsidR="00F6081E" w:rsidRDefault="00F60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6E75D8"/>
    <w:multiLevelType w:val="multilevel"/>
    <w:tmpl w:val="6AB89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8A9128C"/>
    <w:multiLevelType w:val="multilevel"/>
    <w:tmpl w:val="6A0602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F"/>
    <w:rsid w:val="000001A1"/>
    <w:rsid w:val="0000202A"/>
    <w:rsid w:val="00034BB1"/>
    <w:rsid w:val="00056D80"/>
    <w:rsid w:val="00056E92"/>
    <w:rsid w:val="000901F1"/>
    <w:rsid w:val="00093858"/>
    <w:rsid w:val="000C6174"/>
    <w:rsid w:val="00103686"/>
    <w:rsid w:val="00126271"/>
    <w:rsid w:val="0013538F"/>
    <w:rsid w:val="00154911"/>
    <w:rsid w:val="001728C9"/>
    <w:rsid w:val="0017437F"/>
    <w:rsid w:val="001803A9"/>
    <w:rsid w:val="00196D70"/>
    <w:rsid w:val="001A013B"/>
    <w:rsid w:val="001A1497"/>
    <w:rsid w:val="001A646C"/>
    <w:rsid w:val="001C499D"/>
    <w:rsid w:val="001C5FA9"/>
    <w:rsid w:val="001E6461"/>
    <w:rsid w:val="00204082"/>
    <w:rsid w:val="0020611F"/>
    <w:rsid w:val="00213465"/>
    <w:rsid w:val="00224F7F"/>
    <w:rsid w:val="002320FC"/>
    <w:rsid w:val="002404D4"/>
    <w:rsid w:val="00246A16"/>
    <w:rsid w:val="002537D6"/>
    <w:rsid w:val="002552F7"/>
    <w:rsid w:val="002801F7"/>
    <w:rsid w:val="002868F4"/>
    <w:rsid w:val="00296924"/>
    <w:rsid w:val="002B4AEC"/>
    <w:rsid w:val="002C0BF8"/>
    <w:rsid w:val="002C51FD"/>
    <w:rsid w:val="002D0B99"/>
    <w:rsid w:val="002F19CE"/>
    <w:rsid w:val="002F6242"/>
    <w:rsid w:val="00322D92"/>
    <w:rsid w:val="0033179B"/>
    <w:rsid w:val="003446B4"/>
    <w:rsid w:val="00345721"/>
    <w:rsid w:val="00357BB7"/>
    <w:rsid w:val="00373C3A"/>
    <w:rsid w:val="00382915"/>
    <w:rsid w:val="00394A0E"/>
    <w:rsid w:val="003A2334"/>
    <w:rsid w:val="003A67C8"/>
    <w:rsid w:val="003C4422"/>
    <w:rsid w:val="003D323C"/>
    <w:rsid w:val="003F4483"/>
    <w:rsid w:val="00406B89"/>
    <w:rsid w:val="004249D2"/>
    <w:rsid w:val="004415DF"/>
    <w:rsid w:val="00454EEF"/>
    <w:rsid w:val="0047693A"/>
    <w:rsid w:val="00485544"/>
    <w:rsid w:val="0049752A"/>
    <w:rsid w:val="004A1287"/>
    <w:rsid w:val="004F62DB"/>
    <w:rsid w:val="004F7938"/>
    <w:rsid w:val="0050285E"/>
    <w:rsid w:val="00512E6D"/>
    <w:rsid w:val="00515F73"/>
    <w:rsid w:val="00524244"/>
    <w:rsid w:val="005513A8"/>
    <w:rsid w:val="0058542C"/>
    <w:rsid w:val="00592159"/>
    <w:rsid w:val="005B723E"/>
    <w:rsid w:val="005D4497"/>
    <w:rsid w:val="005E2562"/>
    <w:rsid w:val="006004B0"/>
    <w:rsid w:val="006053B1"/>
    <w:rsid w:val="006252C4"/>
    <w:rsid w:val="00630B55"/>
    <w:rsid w:val="006473AD"/>
    <w:rsid w:val="006518B9"/>
    <w:rsid w:val="00667692"/>
    <w:rsid w:val="00670E9A"/>
    <w:rsid w:val="00677215"/>
    <w:rsid w:val="006C26DB"/>
    <w:rsid w:val="006D47F0"/>
    <w:rsid w:val="006E375C"/>
    <w:rsid w:val="006E488F"/>
    <w:rsid w:val="006E64B9"/>
    <w:rsid w:val="006F61C5"/>
    <w:rsid w:val="00720907"/>
    <w:rsid w:val="00725293"/>
    <w:rsid w:val="00727F0F"/>
    <w:rsid w:val="007519CF"/>
    <w:rsid w:val="00756B1C"/>
    <w:rsid w:val="00764B77"/>
    <w:rsid w:val="00783452"/>
    <w:rsid w:val="00790EA5"/>
    <w:rsid w:val="007F5B29"/>
    <w:rsid w:val="007F78C7"/>
    <w:rsid w:val="008048EA"/>
    <w:rsid w:val="00810420"/>
    <w:rsid w:val="00880587"/>
    <w:rsid w:val="00880BDD"/>
    <w:rsid w:val="00881976"/>
    <w:rsid w:val="008B055E"/>
    <w:rsid w:val="008F1E70"/>
    <w:rsid w:val="008F5409"/>
    <w:rsid w:val="00905783"/>
    <w:rsid w:val="00932399"/>
    <w:rsid w:val="009854C5"/>
    <w:rsid w:val="009B281D"/>
    <w:rsid w:val="009C0551"/>
    <w:rsid w:val="00A05690"/>
    <w:rsid w:val="00A31EA2"/>
    <w:rsid w:val="00A93E03"/>
    <w:rsid w:val="00AB7E0E"/>
    <w:rsid w:val="00AC23D8"/>
    <w:rsid w:val="00AD5F6F"/>
    <w:rsid w:val="00AF31FF"/>
    <w:rsid w:val="00AF33FF"/>
    <w:rsid w:val="00B26407"/>
    <w:rsid w:val="00B57B6F"/>
    <w:rsid w:val="00B75886"/>
    <w:rsid w:val="00B92ACE"/>
    <w:rsid w:val="00B96EC4"/>
    <w:rsid w:val="00BC45F0"/>
    <w:rsid w:val="00BC6534"/>
    <w:rsid w:val="00BD4B62"/>
    <w:rsid w:val="00BD7967"/>
    <w:rsid w:val="00BE3556"/>
    <w:rsid w:val="00C039A3"/>
    <w:rsid w:val="00C110E3"/>
    <w:rsid w:val="00C13026"/>
    <w:rsid w:val="00C21786"/>
    <w:rsid w:val="00C363D3"/>
    <w:rsid w:val="00C3762A"/>
    <w:rsid w:val="00C46C21"/>
    <w:rsid w:val="00CA5046"/>
    <w:rsid w:val="00CD28F9"/>
    <w:rsid w:val="00CD466E"/>
    <w:rsid w:val="00CD4768"/>
    <w:rsid w:val="00CE1482"/>
    <w:rsid w:val="00CE1A70"/>
    <w:rsid w:val="00CE7C53"/>
    <w:rsid w:val="00D12421"/>
    <w:rsid w:val="00D31801"/>
    <w:rsid w:val="00D35705"/>
    <w:rsid w:val="00D4010D"/>
    <w:rsid w:val="00D41EA9"/>
    <w:rsid w:val="00D723B1"/>
    <w:rsid w:val="00D755D3"/>
    <w:rsid w:val="00D933B7"/>
    <w:rsid w:val="00DF7B84"/>
    <w:rsid w:val="00E54956"/>
    <w:rsid w:val="00E54BFD"/>
    <w:rsid w:val="00E66420"/>
    <w:rsid w:val="00E66D3D"/>
    <w:rsid w:val="00E96C1F"/>
    <w:rsid w:val="00EB3BFC"/>
    <w:rsid w:val="00EC342A"/>
    <w:rsid w:val="00EC4187"/>
    <w:rsid w:val="00ED6B7A"/>
    <w:rsid w:val="00EE6563"/>
    <w:rsid w:val="00EF517C"/>
    <w:rsid w:val="00F04032"/>
    <w:rsid w:val="00F27D8B"/>
    <w:rsid w:val="00F53114"/>
    <w:rsid w:val="00F6081E"/>
    <w:rsid w:val="00F736EC"/>
    <w:rsid w:val="00F85FC8"/>
    <w:rsid w:val="00F97F87"/>
    <w:rsid w:val="00FD3AEB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4B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morele.net/monitor-acer-b277ubmiipprczx-um-hb7ee-011-46587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ideocardbenchmark.net/mid_range_gpu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EFFB-C247-4F64-9C3C-92A40CDB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12</cp:revision>
  <cp:lastPrinted>2019-09-27T11:07:00Z</cp:lastPrinted>
  <dcterms:created xsi:type="dcterms:W3CDTF">2019-09-18T06:18:00Z</dcterms:created>
  <dcterms:modified xsi:type="dcterms:W3CDTF">2019-10-09T09:55:00Z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0996olii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